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15FA07" w14:textId="77777777" w:rsidR="001C37E4" w:rsidRPr="001C37E4" w:rsidRDefault="001C37E4" w:rsidP="001C37E4">
      <w:pPr>
        <w:pStyle w:val="13Normal"/>
        <w:jc w:val="both"/>
        <w:rPr>
          <w:rFonts w:cs="Arial"/>
          <w:b/>
          <w:bCs/>
          <w:sz w:val="22"/>
          <w:szCs w:val="28"/>
        </w:rPr>
      </w:pPr>
      <w:r w:rsidRPr="001C37E4">
        <w:rPr>
          <w:rFonts w:cs="Arial"/>
          <w:b/>
          <w:bCs/>
          <w:sz w:val="24"/>
          <w:szCs w:val="32"/>
        </w:rPr>
        <w:t>Supplementary Appendix</w:t>
      </w:r>
    </w:p>
    <w:p w14:paraId="37258668" w14:textId="5D9D3ACC" w:rsidR="001C37E4" w:rsidRPr="001C37E4" w:rsidRDefault="001C37E4" w:rsidP="001C37E4">
      <w:pPr>
        <w:pStyle w:val="13Normal"/>
        <w:jc w:val="both"/>
        <w:rPr>
          <w:rFonts w:cs="Arial"/>
          <w:sz w:val="24"/>
        </w:rPr>
      </w:pPr>
      <w:r w:rsidRPr="001C37E4">
        <w:rPr>
          <w:rFonts w:cs="Arial"/>
          <w:sz w:val="24"/>
        </w:rPr>
        <w:t>Supplementary appendix to accompany</w:t>
      </w:r>
      <w:r w:rsidR="000E6B97">
        <w:rPr>
          <w:rFonts w:cs="Arial"/>
          <w:sz w:val="24"/>
        </w:rPr>
        <w:t xml:space="preserve"> “</w:t>
      </w:r>
      <w:r w:rsidR="000E6B97" w:rsidRPr="000E6B97">
        <w:rPr>
          <w:rFonts w:cs="Arial"/>
          <w:sz w:val="24"/>
        </w:rPr>
        <w:t>QDOT MICRO™ versus THERMOCOOL® SMARTTOUCH™ and THERMOCOOL SMARTTOUCH® Surround Flow in radiofrequency ablation of paroxysmal atrial fibrillation</w:t>
      </w:r>
      <w:r w:rsidR="000E6B97">
        <w:rPr>
          <w:rFonts w:cs="Arial"/>
          <w:sz w:val="24"/>
        </w:rPr>
        <w:t>”.</w:t>
      </w:r>
    </w:p>
    <w:tbl>
      <w:tblPr>
        <w:tblW w:w="0" w:type="auto"/>
        <w:tblLook w:val="04A0" w:firstRow="1" w:lastRow="0" w:firstColumn="1" w:lastColumn="0" w:noHBand="0" w:noVBand="1"/>
      </w:tblPr>
      <w:tblGrid>
        <w:gridCol w:w="2347"/>
        <w:gridCol w:w="7013"/>
      </w:tblGrid>
      <w:tr w:rsidR="001C37E4" w:rsidRPr="001C37E4" w14:paraId="5AE76E45" w14:textId="77777777" w:rsidTr="001C37E4">
        <w:trPr>
          <w:trHeight w:val="645"/>
        </w:trPr>
        <w:tc>
          <w:tcPr>
            <w:tcW w:w="2347" w:type="dxa"/>
            <w:hideMark/>
          </w:tcPr>
          <w:p w14:paraId="35A20F89" w14:textId="322AB565" w:rsidR="001C37E4" w:rsidRPr="001C37E4" w:rsidRDefault="001C37E4">
            <w:pPr>
              <w:pStyle w:val="NoSpacing"/>
              <w:spacing w:after="240"/>
              <w:jc w:val="left"/>
              <w:rPr>
                <w:rFonts w:ascii="Arial" w:hAnsi="Arial"/>
                <w:sz w:val="24"/>
                <w:szCs w:val="24"/>
                <w:lang w:val="en-CA" w:eastAsia="en-CA"/>
              </w:rPr>
            </w:pPr>
            <w:r w:rsidRPr="001C37E4">
              <w:rPr>
                <w:rFonts w:ascii="Arial" w:hAnsi="Arial"/>
                <w:b/>
                <w:bCs/>
                <w:sz w:val="24"/>
                <w:szCs w:val="24"/>
                <w:lang w:val="en-CA" w:eastAsia="en-CA"/>
              </w:rPr>
              <w:t>Appendix 1</w:t>
            </w:r>
          </w:p>
        </w:tc>
        <w:tc>
          <w:tcPr>
            <w:tcW w:w="7013" w:type="dxa"/>
            <w:hideMark/>
          </w:tcPr>
          <w:p w14:paraId="253AC6C0" w14:textId="39379597" w:rsidR="001C37E4" w:rsidRPr="001C37E4" w:rsidRDefault="001C37E4">
            <w:pPr>
              <w:pStyle w:val="NoSpacing"/>
              <w:spacing w:after="240"/>
              <w:jc w:val="left"/>
              <w:rPr>
                <w:rFonts w:ascii="Arial" w:hAnsi="Arial"/>
                <w:b/>
                <w:bCs/>
                <w:iCs/>
                <w:sz w:val="24"/>
                <w:szCs w:val="24"/>
                <w:lang w:val="en-CA" w:eastAsia="en-CA"/>
              </w:rPr>
            </w:pPr>
            <w:r w:rsidRPr="001C37E4">
              <w:rPr>
                <w:rFonts w:ascii="Arial" w:hAnsi="Arial"/>
                <w:iCs/>
                <w:sz w:val="24"/>
                <w:szCs w:val="24"/>
                <w:lang w:val="en-CA" w:eastAsia="en-CA"/>
              </w:rPr>
              <w:t>Statistical Analyses Details</w:t>
            </w:r>
          </w:p>
        </w:tc>
      </w:tr>
      <w:tr w:rsidR="001C37E4" w:rsidRPr="001C37E4" w14:paraId="682B02DE" w14:textId="77777777" w:rsidTr="001C37E4">
        <w:trPr>
          <w:trHeight w:val="707"/>
        </w:trPr>
        <w:tc>
          <w:tcPr>
            <w:tcW w:w="2347" w:type="dxa"/>
            <w:hideMark/>
          </w:tcPr>
          <w:p w14:paraId="7B7E2195" w14:textId="4E680C11" w:rsidR="001C37E4" w:rsidRPr="001C37E4" w:rsidRDefault="001C37E4">
            <w:pPr>
              <w:pStyle w:val="NoSpacing"/>
              <w:spacing w:after="240"/>
              <w:jc w:val="left"/>
              <w:rPr>
                <w:rFonts w:ascii="Arial" w:hAnsi="Arial"/>
                <w:sz w:val="24"/>
                <w:szCs w:val="24"/>
                <w:lang w:val="en-CA" w:eastAsia="en-CA"/>
              </w:rPr>
            </w:pPr>
            <w:r w:rsidRPr="001C37E4">
              <w:rPr>
                <w:rFonts w:ascii="Arial" w:hAnsi="Arial"/>
                <w:b/>
                <w:bCs/>
                <w:sz w:val="24"/>
                <w:szCs w:val="24"/>
                <w:lang w:val="en-CA" w:eastAsia="en-CA"/>
              </w:rPr>
              <w:t>Appendix 2</w:t>
            </w:r>
          </w:p>
        </w:tc>
        <w:tc>
          <w:tcPr>
            <w:tcW w:w="7013" w:type="dxa"/>
            <w:hideMark/>
          </w:tcPr>
          <w:p w14:paraId="30DB4D23" w14:textId="512B0E69" w:rsidR="001C37E4" w:rsidRPr="001C37E4" w:rsidRDefault="001C37E4">
            <w:pPr>
              <w:pStyle w:val="NoSpacing"/>
              <w:spacing w:after="240"/>
              <w:jc w:val="left"/>
              <w:rPr>
                <w:rFonts w:ascii="Arial" w:hAnsi="Arial"/>
                <w:iCs/>
                <w:sz w:val="24"/>
                <w:szCs w:val="24"/>
                <w:lang w:val="en-CA" w:eastAsia="en-CA"/>
              </w:rPr>
            </w:pPr>
            <w:r w:rsidRPr="001C37E4">
              <w:rPr>
                <w:rFonts w:ascii="Arial" w:hAnsi="Arial"/>
                <w:iCs/>
                <w:sz w:val="24"/>
                <w:szCs w:val="24"/>
                <w:lang w:val="en-CA" w:eastAsia="en-CA"/>
              </w:rPr>
              <w:t>Ranking of prognostic factors and availability in Q-FFICIENCY, SMART-AF, and SMART-SF cohorts</w:t>
            </w:r>
          </w:p>
        </w:tc>
      </w:tr>
      <w:tr w:rsidR="001C37E4" w:rsidRPr="001C37E4" w14:paraId="1E581BA2" w14:textId="77777777" w:rsidTr="001C37E4">
        <w:trPr>
          <w:trHeight w:val="706"/>
        </w:trPr>
        <w:tc>
          <w:tcPr>
            <w:tcW w:w="2347" w:type="dxa"/>
            <w:hideMark/>
          </w:tcPr>
          <w:p w14:paraId="5519DF9B" w14:textId="263F5051" w:rsidR="001C37E4" w:rsidRPr="001C37E4" w:rsidRDefault="001C37E4">
            <w:pPr>
              <w:pStyle w:val="NoSpacing"/>
              <w:spacing w:after="240"/>
              <w:jc w:val="left"/>
              <w:rPr>
                <w:rFonts w:ascii="Arial" w:hAnsi="Arial"/>
                <w:b/>
                <w:bCs/>
                <w:sz w:val="24"/>
                <w:szCs w:val="24"/>
                <w:lang w:val="en-CA" w:eastAsia="en-CA"/>
              </w:rPr>
            </w:pPr>
            <w:r w:rsidRPr="001C37E4">
              <w:rPr>
                <w:rFonts w:ascii="Arial" w:hAnsi="Arial"/>
                <w:b/>
                <w:bCs/>
                <w:sz w:val="24"/>
                <w:szCs w:val="24"/>
                <w:lang w:val="en-CA" w:eastAsia="en-CA"/>
              </w:rPr>
              <w:t>Appendix 3</w:t>
            </w:r>
          </w:p>
        </w:tc>
        <w:tc>
          <w:tcPr>
            <w:tcW w:w="7013" w:type="dxa"/>
            <w:hideMark/>
          </w:tcPr>
          <w:p w14:paraId="5CA418CB" w14:textId="577E1B5F" w:rsidR="001C37E4" w:rsidRPr="001C37E4" w:rsidRDefault="001C37E4">
            <w:pPr>
              <w:pStyle w:val="NoSpacing"/>
              <w:spacing w:after="240"/>
              <w:jc w:val="left"/>
              <w:rPr>
                <w:rFonts w:ascii="Arial" w:hAnsi="Arial"/>
                <w:iCs/>
                <w:sz w:val="24"/>
                <w:szCs w:val="24"/>
                <w:lang w:val="en-CA" w:eastAsia="en-CA"/>
              </w:rPr>
            </w:pPr>
            <w:r w:rsidRPr="001C37E4">
              <w:rPr>
                <w:rFonts w:ascii="Arial" w:hAnsi="Arial"/>
                <w:iCs/>
                <w:sz w:val="24"/>
                <w:szCs w:val="24"/>
                <w:lang w:val="en-CA" w:eastAsia="en-CA"/>
              </w:rPr>
              <w:t>Flow chart of QDOT patients who received QMODE+ and QMODE</w:t>
            </w:r>
          </w:p>
        </w:tc>
      </w:tr>
      <w:tr w:rsidR="001C37E4" w:rsidRPr="001C37E4" w14:paraId="612E00D6" w14:textId="77777777" w:rsidTr="001C37E4">
        <w:trPr>
          <w:trHeight w:val="462"/>
        </w:trPr>
        <w:tc>
          <w:tcPr>
            <w:tcW w:w="2347" w:type="dxa"/>
            <w:hideMark/>
          </w:tcPr>
          <w:p w14:paraId="3528E14E" w14:textId="100F1028" w:rsidR="001C37E4" w:rsidRPr="001C37E4" w:rsidRDefault="001C37E4">
            <w:pPr>
              <w:pStyle w:val="NoSpacing"/>
              <w:spacing w:after="240"/>
              <w:jc w:val="left"/>
              <w:rPr>
                <w:rFonts w:ascii="Arial" w:hAnsi="Arial"/>
                <w:sz w:val="24"/>
                <w:szCs w:val="24"/>
                <w:lang w:val="en-CA" w:eastAsia="en-CA"/>
              </w:rPr>
            </w:pPr>
            <w:r w:rsidRPr="001C37E4">
              <w:rPr>
                <w:rFonts w:ascii="Arial" w:hAnsi="Arial"/>
                <w:b/>
                <w:bCs/>
                <w:sz w:val="24"/>
                <w:szCs w:val="24"/>
                <w:lang w:val="en-CA" w:eastAsia="en-CA"/>
              </w:rPr>
              <w:t>Appendix 4</w:t>
            </w:r>
          </w:p>
        </w:tc>
        <w:tc>
          <w:tcPr>
            <w:tcW w:w="7013" w:type="dxa"/>
            <w:hideMark/>
          </w:tcPr>
          <w:p w14:paraId="7C5843CD" w14:textId="638C4281" w:rsidR="001C37E4" w:rsidRPr="001C37E4" w:rsidRDefault="001C37E4">
            <w:pPr>
              <w:pStyle w:val="NoSpacing"/>
              <w:spacing w:after="240"/>
              <w:jc w:val="left"/>
              <w:rPr>
                <w:rFonts w:ascii="Arial" w:hAnsi="Arial"/>
                <w:iCs/>
                <w:sz w:val="24"/>
                <w:szCs w:val="24"/>
                <w:lang w:val="en-CA" w:eastAsia="en-CA"/>
              </w:rPr>
            </w:pPr>
            <w:r w:rsidRPr="001C37E4">
              <w:rPr>
                <w:rFonts w:ascii="Arial" w:hAnsi="Arial"/>
                <w:iCs/>
                <w:sz w:val="24"/>
                <w:szCs w:val="24"/>
                <w:lang w:val="en-CA" w:eastAsia="en-CA"/>
              </w:rPr>
              <w:t>Patient characteristic for procedure time</w:t>
            </w:r>
          </w:p>
        </w:tc>
      </w:tr>
      <w:tr w:rsidR="001C37E4" w:rsidRPr="001C37E4" w14:paraId="212A13B9" w14:textId="77777777" w:rsidTr="001C37E4">
        <w:trPr>
          <w:trHeight w:val="462"/>
        </w:trPr>
        <w:tc>
          <w:tcPr>
            <w:tcW w:w="2347" w:type="dxa"/>
            <w:hideMark/>
          </w:tcPr>
          <w:p w14:paraId="3CE30B34" w14:textId="6B104E9E" w:rsidR="001C37E4" w:rsidRPr="001C37E4" w:rsidRDefault="001C37E4">
            <w:pPr>
              <w:pStyle w:val="NoSpacing"/>
              <w:spacing w:after="240"/>
              <w:jc w:val="left"/>
              <w:rPr>
                <w:rFonts w:ascii="Arial" w:hAnsi="Arial"/>
                <w:b/>
                <w:bCs/>
                <w:sz w:val="24"/>
                <w:szCs w:val="24"/>
                <w:lang w:val="en-CA" w:eastAsia="en-CA"/>
              </w:rPr>
            </w:pPr>
            <w:r w:rsidRPr="001C37E4">
              <w:rPr>
                <w:rFonts w:ascii="Arial" w:hAnsi="Arial"/>
                <w:b/>
                <w:bCs/>
                <w:sz w:val="24"/>
                <w:szCs w:val="24"/>
                <w:lang w:val="en-CA" w:eastAsia="en-CA"/>
              </w:rPr>
              <w:t>Appendix 5</w:t>
            </w:r>
          </w:p>
        </w:tc>
        <w:tc>
          <w:tcPr>
            <w:tcW w:w="7013" w:type="dxa"/>
            <w:hideMark/>
          </w:tcPr>
          <w:p w14:paraId="6D318E39" w14:textId="32779CB1" w:rsidR="001C37E4" w:rsidRPr="001C37E4" w:rsidRDefault="001C37E4">
            <w:pPr>
              <w:pStyle w:val="NoSpacing"/>
              <w:spacing w:after="240"/>
              <w:jc w:val="left"/>
              <w:rPr>
                <w:rFonts w:ascii="Arial" w:hAnsi="Arial"/>
                <w:iCs/>
                <w:sz w:val="24"/>
                <w:szCs w:val="24"/>
                <w:lang w:val="en-CA" w:eastAsia="en-CA"/>
              </w:rPr>
            </w:pPr>
            <w:r w:rsidRPr="001C37E4">
              <w:rPr>
                <w:rFonts w:ascii="Arial" w:hAnsi="Arial"/>
                <w:iCs/>
                <w:sz w:val="24"/>
                <w:szCs w:val="24"/>
                <w:lang w:val="en-CA" w:eastAsia="en-CA"/>
              </w:rPr>
              <w:t>Patient characteristic for fluoroscopy time</w:t>
            </w:r>
          </w:p>
        </w:tc>
      </w:tr>
      <w:tr w:rsidR="001C37E4" w:rsidRPr="001C37E4" w14:paraId="1B902E5B" w14:textId="77777777" w:rsidTr="001C37E4">
        <w:trPr>
          <w:trHeight w:val="707"/>
        </w:trPr>
        <w:tc>
          <w:tcPr>
            <w:tcW w:w="2347" w:type="dxa"/>
            <w:hideMark/>
          </w:tcPr>
          <w:p w14:paraId="66437327" w14:textId="6E883787" w:rsidR="001C37E4" w:rsidRPr="001C37E4" w:rsidRDefault="001C37E4">
            <w:pPr>
              <w:pStyle w:val="NoSpacing"/>
              <w:spacing w:after="240"/>
              <w:jc w:val="left"/>
              <w:rPr>
                <w:rFonts w:ascii="Arial" w:hAnsi="Arial"/>
                <w:sz w:val="24"/>
                <w:szCs w:val="24"/>
                <w:lang w:val="en-CA" w:eastAsia="en-CA"/>
              </w:rPr>
            </w:pPr>
            <w:r w:rsidRPr="001C37E4">
              <w:rPr>
                <w:rFonts w:ascii="Arial" w:hAnsi="Arial"/>
                <w:b/>
                <w:bCs/>
                <w:iCs/>
                <w:sz w:val="24"/>
                <w:szCs w:val="24"/>
                <w:lang w:val="en-CA" w:eastAsia="en-CA"/>
              </w:rPr>
              <w:t>Appendix 6</w:t>
            </w:r>
          </w:p>
        </w:tc>
        <w:tc>
          <w:tcPr>
            <w:tcW w:w="7013" w:type="dxa"/>
            <w:hideMark/>
          </w:tcPr>
          <w:p w14:paraId="44A57BEE" w14:textId="74390A75" w:rsidR="001C37E4" w:rsidRPr="001C37E4" w:rsidRDefault="001C37E4">
            <w:pPr>
              <w:pStyle w:val="NoSpacing"/>
              <w:spacing w:after="240"/>
              <w:jc w:val="left"/>
              <w:rPr>
                <w:rFonts w:ascii="Arial" w:hAnsi="Arial"/>
                <w:iCs/>
                <w:sz w:val="24"/>
                <w:szCs w:val="24"/>
                <w:lang w:val="en-CA" w:eastAsia="en-CA"/>
              </w:rPr>
            </w:pPr>
            <w:r w:rsidRPr="001C37E4">
              <w:rPr>
                <w:rFonts w:ascii="Arial" w:hAnsi="Arial"/>
                <w:iCs/>
                <w:sz w:val="24"/>
                <w:szCs w:val="24"/>
                <w:lang w:val="en-CA" w:eastAsia="en-CA"/>
              </w:rPr>
              <w:t>Patient characteristic tables clinical success at 12 months and rhythm monitoring-adjusted recurrence</w:t>
            </w:r>
          </w:p>
        </w:tc>
      </w:tr>
      <w:tr w:rsidR="001C37E4" w:rsidRPr="001C37E4" w14:paraId="12DCB6B9" w14:textId="77777777" w:rsidTr="001C37E4">
        <w:trPr>
          <w:trHeight w:val="706"/>
        </w:trPr>
        <w:tc>
          <w:tcPr>
            <w:tcW w:w="2347" w:type="dxa"/>
            <w:hideMark/>
          </w:tcPr>
          <w:p w14:paraId="054F2B2F" w14:textId="19C2BABF" w:rsidR="001C37E4" w:rsidRPr="001C37E4" w:rsidRDefault="001C37E4">
            <w:pPr>
              <w:pStyle w:val="NoSpacing"/>
              <w:spacing w:after="240"/>
              <w:jc w:val="left"/>
              <w:rPr>
                <w:rFonts w:ascii="Arial" w:hAnsi="Arial"/>
                <w:b/>
                <w:bCs/>
                <w:iCs/>
                <w:sz w:val="24"/>
                <w:szCs w:val="24"/>
                <w:lang w:val="en-CA" w:eastAsia="en-CA"/>
              </w:rPr>
            </w:pPr>
            <w:r w:rsidRPr="001C37E4">
              <w:rPr>
                <w:rFonts w:ascii="Arial" w:hAnsi="Arial"/>
                <w:b/>
                <w:sz w:val="24"/>
                <w:szCs w:val="24"/>
                <w:lang w:val="en-CA" w:eastAsia="en-CA"/>
              </w:rPr>
              <w:t>Appendix 7</w:t>
            </w:r>
          </w:p>
        </w:tc>
        <w:tc>
          <w:tcPr>
            <w:tcW w:w="7013" w:type="dxa"/>
            <w:hideMark/>
          </w:tcPr>
          <w:p w14:paraId="4938608C" w14:textId="0D51C4CB" w:rsidR="001C37E4" w:rsidRPr="001C37E4" w:rsidRDefault="001C37E4">
            <w:pPr>
              <w:pStyle w:val="NoSpacing"/>
              <w:spacing w:after="240"/>
              <w:jc w:val="left"/>
              <w:rPr>
                <w:rFonts w:ascii="Arial" w:hAnsi="Arial"/>
                <w:iCs/>
                <w:sz w:val="24"/>
                <w:szCs w:val="24"/>
                <w:lang w:val="en-CA" w:eastAsia="en-CA"/>
              </w:rPr>
            </w:pPr>
            <w:r w:rsidRPr="001C37E4">
              <w:rPr>
                <w:rFonts w:ascii="Arial" w:hAnsi="Arial"/>
                <w:sz w:val="24"/>
                <w:szCs w:val="24"/>
                <w:lang w:val="en-CA" w:eastAsia="en-CA"/>
              </w:rPr>
              <w:t>Forest plot of IPTW results for each procedure time scenario</w:t>
            </w:r>
          </w:p>
        </w:tc>
      </w:tr>
      <w:tr w:rsidR="001C37E4" w:rsidRPr="001C37E4" w14:paraId="4E3E1092" w14:textId="77777777" w:rsidTr="001C37E4">
        <w:trPr>
          <w:trHeight w:val="707"/>
        </w:trPr>
        <w:tc>
          <w:tcPr>
            <w:tcW w:w="2347" w:type="dxa"/>
            <w:hideMark/>
          </w:tcPr>
          <w:p w14:paraId="385AA535" w14:textId="4302F352" w:rsidR="001C37E4" w:rsidRPr="001C37E4" w:rsidRDefault="001C37E4">
            <w:pPr>
              <w:pStyle w:val="NoSpacing"/>
              <w:spacing w:after="240"/>
              <w:jc w:val="left"/>
              <w:rPr>
                <w:rFonts w:ascii="Arial" w:hAnsi="Arial"/>
                <w:sz w:val="24"/>
                <w:szCs w:val="24"/>
                <w:lang w:val="en-CA" w:eastAsia="en-CA"/>
              </w:rPr>
            </w:pPr>
            <w:r w:rsidRPr="001C37E4">
              <w:rPr>
                <w:rFonts w:ascii="Arial" w:hAnsi="Arial"/>
                <w:b/>
                <w:bCs/>
                <w:iCs/>
                <w:sz w:val="24"/>
                <w:szCs w:val="24"/>
                <w:lang w:val="en-CA" w:eastAsia="en-CA"/>
              </w:rPr>
              <w:t>Appendix 8</w:t>
            </w:r>
          </w:p>
        </w:tc>
        <w:tc>
          <w:tcPr>
            <w:tcW w:w="7013" w:type="dxa"/>
            <w:hideMark/>
          </w:tcPr>
          <w:p w14:paraId="0880BF78" w14:textId="27053949" w:rsidR="001C37E4" w:rsidRPr="001C37E4" w:rsidRDefault="001C37E4">
            <w:pPr>
              <w:pStyle w:val="NoSpacing"/>
              <w:spacing w:after="240"/>
              <w:jc w:val="left"/>
              <w:rPr>
                <w:rFonts w:ascii="Arial" w:hAnsi="Arial"/>
                <w:iCs/>
                <w:sz w:val="24"/>
                <w:szCs w:val="24"/>
                <w:lang w:val="en-CA" w:eastAsia="en-CA"/>
              </w:rPr>
            </w:pPr>
            <w:r w:rsidRPr="001C37E4">
              <w:rPr>
                <w:rFonts w:ascii="Arial" w:hAnsi="Arial"/>
                <w:iCs/>
                <w:sz w:val="24"/>
                <w:szCs w:val="24"/>
                <w:lang w:val="en-CA" w:eastAsia="en-CA"/>
              </w:rPr>
              <w:t>Forest plot of IPTW results for each fluoroscopy time scenario</w:t>
            </w:r>
          </w:p>
        </w:tc>
      </w:tr>
      <w:tr w:rsidR="001C37E4" w:rsidRPr="001C37E4" w14:paraId="566161E5" w14:textId="77777777" w:rsidTr="001C37E4">
        <w:trPr>
          <w:trHeight w:val="706"/>
        </w:trPr>
        <w:tc>
          <w:tcPr>
            <w:tcW w:w="2347" w:type="dxa"/>
            <w:hideMark/>
          </w:tcPr>
          <w:p w14:paraId="3E0E90CC" w14:textId="1DC7BB8D" w:rsidR="001C37E4" w:rsidRPr="001C37E4" w:rsidRDefault="001C37E4">
            <w:pPr>
              <w:pStyle w:val="NoSpacing"/>
              <w:spacing w:after="240"/>
              <w:jc w:val="left"/>
              <w:rPr>
                <w:rFonts w:ascii="Arial" w:hAnsi="Arial"/>
                <w:b/>
                <w:bCs/>
                <w:iCs/>
                <w:sz w:val="24"/>
                <w:szCs w:val="24"/>
                <w:lang w:val="en-CA" w:eastAsia="en-CA"/>
              </w:rPr>
            </w:pPr>
            <w:r w:rsidRPr="001C37E4">
              <w:rPr>
                <w:rFonts w:ascii="Arial" w:hAnsi="Arial"/>
                <w:b/>
                <w:bCs/>
                <w:iCs/>
                <w:sz w:val="24"/>
                <w:szCs w:val="24"/>
                <w:lang w:val="en-CA" w:eastAsia="en-CA"/>
              </w:rPr>
              <w:t>Appendix 9</w:t>
            </w:r>
          </w:p>
        </w:tc>
        <w:tc>
          <w:tcPr>
            <w:tcW w:w="7013" w:type="dxa"/>
            <w:hideMark/>
          </w:tcPr>
          <w:p w14:paraId="4FD5C131" w14:textId="40EBD500" w:rsidR="001C37E4" w:rsidRPr="001C37E4" w:rsidRDefault="001C37E4">
            <w:pPr>
              <w:pStyle w:val="NoSpacing"/>
              <w:spacing w:after="240"/>
              <w:jc w:val="left"/>
              <w:rPr>
                <w:rFonts w:ascii="Arial" w:hAnsi="Arial"/>
                <w:iCs/>
                <w:sz w:val="24"/>
                <w:szCs w:val="24"/>
                <w:lang w:val="en-CA" w:eastAsia="en-CA"/>
              </w:rPr>
            </w:pPr>
            <w:r w:rsidRPr="001C37E4">
              <w:rPr>
                <w:rFonts w:ascii="Arial" w:hAnsi="Arial"/>
                <w:iCs/>
                <w:sz w:val="24"/>
                <w:szCs w:val="24"/>
                <w:lang w:val="en-CA" w:eastAsia="en-CA"/>
              </w:rPr>
              <w:t>Kaplan-Meier curve of clinical success at 12 months (adjusted for all factors)</w:t>
            </w:r>
          </w:p>
        </w:tc>
      </w:tr>
      <w:tr w:rsidR="001C37E4" w:rsidRPr="001C37E4" w14:paraId="78D3623B" w14:textId="77777777" w:rsidTr="001C37E4">
        <w:trPr>
          <w:trHeight w:val="706"/>
        </w:trPr>
        <w:tc>
          <w:tcPr>
            <w:tcW w:w="2347" w:type="dxa"/>
          </w:tcPr>
          <w:p w14:paraId="3B256F0B" w14:textId="04AAE7D5" w:rsidR="001C37E4" w:rsidRPr="001C37E4" w:rsidRDefault="001C37E4">
            <w:pPr>
              <w:pStyle w:val="NoSpacing"/>
              <w:spacing w:after="240"/>
              <w:jc w:val="left"/>
              <w:rPr>
                <w:rFonts w:ascii="Arial" w:hAnsi="Arial"/>
                <w:b/>
                <w:bCs/>
                <w:iCs/>
                <w:sz w:val="24"/>
                <w:szCs w:val="24"/>
                <w:lang w:val="en-CA" w:eastAsia="en-CA"/>
              </w:rPr>
            </w:pPr>
            <w:r w:rsidRPr="001C37E4">
              <w:rPr>
                <w:rFonts w:ascii="Arial" w:hAnsi="Arial"/>
                <w:b/>
                <w:bCs/>
                <w:iCs/>
                <w:sz w:val="24"/>
                <w:szCs w:val="24"/>
                <w:lang w:val="en-CA" w:eastAsia="en-CA"/>
              </w:rPr>
              <w:t>Appendix 10</w:t>
            </w:r>
          </w:p>
        </w:tc>
        <w:tc>
          <w:tcPr>
            <w:tcW w:w="7013" w:type="dxa"/>
          </w:tcPr>
          <w:p w14:paraId="2621C6C6" w14:textId="5354E8AB" w:rsidR="001C37E4" w:rsidRPr="001C37E4" w:rsidRDefault="001C37E4">
            <w:pPr>
              <w:pStyle w:val="NoSpacing"/>
              <w:spacing w:after="240"/>
              <w:jc w:val="left"/>
              <w:rPr>
                <w:rFonts w:ascii="Arial" w:hAnsi="Arial"/>
                <w:iCs/>
                <w:sz w:val="24"/>
                <w:szCs w:val="24"/>
                <w:lang w:val="en-CA" w:eastAsia="en-CA"/>
              </w:rPr>
            </w:pPr>
            <w:r w:rsidRPr="001C37E4">
              <w:rPr>
                <w:rFonts w:ascii="Arial" w:hAnsi="Arial"/>
                <w:iCs/>
                <w:sz w:val="24"/>
                <w:szCs w:val="24"/>
                <w:lang w:val="en-CA" w:eastAsia="en-CA"/>
              </w:rPr>
              <w:t>Forest plot of IPTW results for each clinical success at 12 months scenario</w:t>
            </w:r>
          </w:p>
        </w:tc>
      </w:tr>
      <w:tr w:rsidR="001C37E4" w:rsidRPr="001C37E4" w14:paraId="41347F01" w14:textId="77777777" w:rsidTr="001C37E4">
        <w:trPr>
          <w:trHeight w:val="706"/>
        </w:trPr>
        <w:tc>
          <w:tcPr>
            <w:tcW w:w="2347" w:type="dxa"/>
          </w:tcPr>
          <w:p w14:paraId="163F49BE" w14:textId="25AA8950" w:rsidR="001C37E4" w:rsidRPr="001C37E4" w:rsidRDefault="001C37E4">
            <w:pPr>
              <w:pStyle w:val="NoSpacing"/>
              <w:spacing w:after="240"/>
              <w:jc w:val="left"/>
              <w:rPr>
                <w:rFonts w:ascii="Arial" w:hAnsi="Arial"/>
                <w:b/>
                <w:bCs/>
                <w:iCs/>
                <w:sz w:val="24"/>
                <w:szCs w:val="24"/>
                <w:lang w:val="en-CA" w:eastAsia="en-CA"/>
              </w:rPr>
            </w:pPr>
            <w:r w:rsidRPr="001C37E4">
              <w:rPr>
                <w:rFonts w:ascii="Arial" w:hAnsi="Arial"/>
                <w:b/>
                <w:bCs/>
                <w:iCs/>
                <w:sz w:val="24"/>
                <w:szCs w:val="24"/>
                <w:lang w:val="en-CA" w:eastAsia="en-CA"/>
              </w:rPr>
              <w:t>Appendix 11</w:t>
            </w:r>
          </w:p>
        </w:tc>
        <w:tc>
          <w:tcPr>
            <w:tcW w:w="7013" w:type="dxa"/>
          </w:tcPr>
          <w:p w14:paraId="14FCCC40" w14:textId="4C02EB3C" w:rsidR="001C37E4" w:rsidRPr="001C37E4" w:rsidRDefault="001C37E4">
            <w:pPr>
              <w:pStyle w:val="NoSpacing"/>
              <w:spacing w:after="240"/>
              <w:jc w:val="left"/>
              <w:rPr>
                <w:rFonts w:ascii="Arial" w:hAnsi="Arial"/>
                <w:iCs/>
                <w:sz w:val="24"/>
                <w:szCs w:val="24"/>
                <w:lang w:val="en-CA" w:eastAsia="en-CA"/>
              </w:rPr>
            </w:pPr>
            <w:r w:rsidRPr="001C37E4">
              <w:rPr>
                <w:rFonts w:ascii="Arial" w:hAnsi="Arial"/>
                <w:iCs/>
                <w:sz w:val="24"/>
                <w:szCs w:val="24"/>
                <w:lang w:val="en-CA" w:eastAsia="en-CA"/>
              </w:rPr>
              <w:t>Forest plot of IPTW results for rhythm monitoring-adjusted recurrence scenario</w:t>
            </w:r>
          </w:p>
        </w:tc>
      </w:tr>
    </w:tbl>
    <w:p w14:paraId="600F63A3" w14:textId="77777777" w:rsidR="000E6B97" w:rsidRDefault="000E6B97">
      <w:pPr>
        <w:spacing w:after="160" w:line="259" w:lineRule="auto"/>
        <w:jc w:val="left"/>
        <w:rPr>
          <w:rFonts w:ascii="Arial" w:hAnsi="Arial"/>
          <w:b/>
          <w:bCs/>
          <w:sz w:val="20"/>
        </w:rPr>
      </w:pPr>
      <w:r>
        <w:rPr>
          <w:rFonts w:ascii="Arial" w:hAnsi="Arial"/>
          <w:b/>
          <w:bCs/>
          <w:sz w:val="20"/>
        </w:rPr>
        <w:br w:type="page"/>
      </w:r>
    </w:p>
    <w:p w14:paraId="1EE009E7" w14:textId="76882564" w:rsidR="001C37E4" w:rsidRPr="001C37E4" w:rsidRDefault="001C37E4" w:rsidP="001C37E4">
      <w:pPr>
        <w:rPr>
          <w:rFonts w:ascii="Arial" w:hAnsi="Arial"/>
          <w:b/>
          <w:bCs/>
          <w:sz w:val="20"/>
          <w:szCs w:val="20"/>
          <w:lang w:val="en-CA"/>
        </w:rPr>
      </w:pPr>
      <w:r w:rsidRPr="001C37E4">
        <w:rPr>
          <w:rFonts w:ascii="Arial" w:hAnsi="Arial"/>
          <w:b/>
          <w:bCs/>
          <w:sz w:val="20"/>
        </w:rPr>
        <w:lastRenderedPageBreak/>
        <w:t xml:space="preserve">Appendix 1: </w:t>
      </w:r>
      <w:r w:rsidRPr="001C37E4">
        <w:rPr>
          <w:rFonts w:ascii="Arial" w:hAnsi="Arial"/>
          <w:b/>
          <w:bCs/>
          <w:sz w:val="20"/>
          <w:szCs w:val="20"/>
          <w:lang w:val="en-CA"/>
        </w:rPr>
        <w:t>Statistical Analyses Details</w:t>
      </w:r>
    </w:p>
    <w:p w14:paraId="13E8B2B8" w14:textId="77777777" w:rsidR="001C37E4" w:rsidRPr="001C37E4" w:rsidRDefault="001C37E4" w:rsidP="001C37E4">
      <w:pPr>
        <w:rPr>
          <w:rFonts w:ascii="Arial" w:hAnsi="Arial"/>
          <w:b/>
          <w:bCs/>
          <w:i/>
          <w:iCs/>
        </w:rPr>
      </w:pPr>
      <w:r w:rsidRPr="001C37E4">
        <w:rPr>
          <w:rFonts w:ascii="Arial" w:hAnsi="Arial"/>
          <w:b/>
          <w:bCs/>
          <w:i/>
          <w:iCs/>
        </w:rPr>
        <w:t>Study Population</w:t>
      </w:r>
    </w:p>
    <w:p w14:paraId="611D017A" w14:textId="77777777" w:rsidR="001C37E4" w:rsidRPr="001C37E4" w:rsidRDefault="001C37E4" w:rsidP="001C37E4">
      <w:pPr>
        <w:rPr>
          <w:rFonts w:ascii="Arial" w:hAnsi="Arial"/>
          <w:sz w:val="24"/>
          <w:szCs w:val="24"/>
          <w:lang w:val="en-CA"/>
        </w:rPr>
      </w:pPr>
      <w:r w:rsidRPr="001C37E4">
        <w:rPr>
          <w:rFonts w:ascii="Arial" w:hAnsi="Arial"/>
          <w:sz w:val="24"/>
          <w:szCs w:val="24"/>
          <w:lang w:val="en-CA"/>
        </w:rPr>
        <w:t xml:space="preserve">For the Q-FFICIENCY trial, individual patient data from the per-protocol population was used for all outcomes analyzed (N=166). All subjects enrolled met the eligibility criteria and underwent RF ablation. They were treated with the QDOT catheters and had been treated for the study-related arrhythmia without major protocol deviations. </w:t>
      </w:r>
    </w:p>
    <w:p w14:paraId="30CE8DD9" w14:textId="77777777" w:rsidR="001C37E4" w:rsidRPr="001C37E4" w:rsidRDefault="001C37E4" w:rsidP="001C37E4">
      <w:pPr>
        <w:rPr>
          <w:rFonts w:ascii="Arial" w:hAnsi="Arial"/>
          <w:sz w:val="24"/>
          <w:szCs w:val="24"/>
          <w:lang w:val="en-CA"/>
        </w:rPr>
      </w:pPr>
      <w:r w:rsidRPr="001C37E4">
        <w:rPr>
          <w:rFonts w:ascii="Arial" w:hAnsi="Arial"/>
          <w:sz w:val="24"/>
          <w:szCs w:val="24"/>
          <w:lang w:val="en-CA"/>
        </w:rPr>
        <w:t xml:space="preserve">For the SMART-AF trial, individual patient data from the primary effectiveness population was used for all the outcomes analyzed (N=114). All subjects enrolled met the eligibility criteria and underwent insertion of the ST catheter and AF ablation procedure. </w:t>
      </w:r>
    </w:p>
    <w:p w14:paraId="7F248037" w14:textId="77777777" w:rsidR="001C37E4" w:rsidRPr="001C37E4" w:rsidRDefault="001C37E4" w:rsidP="001C37E4">
      <w:pPr>
        <w:rPr>
          <w:rFonts w:ascii="Arial" w:hAnsi="Arial"/>
          <w:sz w:val="24"/>
          <w:szCs w:val="24"/>
          <w:lang w:val="en-CA"/>
        </w:rPr>
      </w:pPr>
      <w:r w:rsidRPr="001C37E4">
        <w:rPr>
          <w:rFonts w:ascii="Arial" w:hAnsi="Arial"/>
          <w:sz w:val="24"/>
          <w:szCs w:val="24"/>
          <w:lang w:val="en-CA"/>
        </w:rPr>
        <w:t>For the SMART-SF trial, individual patient data from the modified intention-to-treat (mITT) population (N=155) was used for procedure and fluoroscopy time analyses. The effectiveness population (N=78) was used to analyze clinical success at 12 months and rhythm monitoring-adjusted recurrence. The mITT population included subjects enrolled who met the eligibility criteria and had the STSF catheter inserted. The effectiveness population included subjects who were eligible to participate in the effectiveness phase of the study for effectiveness evaluation at 6-to-9 and 12-month visits.</w:t>
      </w:r>
    </w:p>
    <w:p w14:paraId="3657BBA3" w14:textId="77777777" w:rsidR="001C37E4" w:rsidRPr="001C37E4" w:rsidRDefault="001C37E4" w:rsidP="001C37E4">
      <w:pPr>
        <w:rPr>
          <w:rFonts w:ascii="Arial" w:hAnsi="Arial"/>
          <w:b/>
          <w:bCs/>
          <w:i/>
          <w:iCs/>
        </w:rPr>
      </w:pPr>
      <w:r w:rsidRPr="001C37E4">
        <w:rPr>
          <w:rFonts w:ascii="Arial" w:hAnsi="Arial"/>
          <w:b/>
          <w:bCs/>
          <w:i/>
          <w:iCs/>
        </w:rPr>
        <w:t>Identification and Rank Ordering of Factors for Population Adjustment</w:t>
      </w:r>
    </w:p>
    <w:p w14:paraId="5EC62737" w14:textId="77777777" w:rsidR="001C37E4" w:rsidRPr="001C37E4" w:rsidRDefault="001C37E4" w:rsidP="001C37E4">
      <w:pPr>
        <w:rPr>
          <w:rFonts w:ascii="Arial" w:hAnsi="Arial"/>
          <w:sz w:val="24"/>
          <w:szCs w:val="24"/>
        </w:rPr>
      </w:pPr>
      <w:r w:rsidRPr="001C37E4">
        <w:rPr>
          <w:rFonts w:ascii="Arial" w:hAnsi="Arial"/>
          <w:sz w:val="24"/>
          <w:szCs w:val="24"/>
        </w:rPr>
        <w:t>Differences in baseline characteristics between trials can lead to biased comparative effectiveness estimates if left unadjusted, due to confounding by difference in prognostic factors and treatment-effect modifiers.</w:t>
      </w:r>
      <w:hyperlink w:anchor="_ENREF_27" w:tooltip="Berger, 2014 #32" w:history="1">
        <w:r w:rsidRPr="001C37E4">
          <w:rPr>
            <w:rFonts w:ascii="Arial" w:hAnsi="Arial"/>
            <w:sz w:val="24"/>
            <w:szCs w:val="24"/>
            <w:vertAlign w:val="superscript"/>
          </w:rPr>
          <w:t>27</w:t>
        </w:r>
        <w:r w:rsidRPr="001C37E4">
          <w:rPr>
            <w:rFonts w:ascii="Arial" w:hAnsi="Arial"/>
            <w:sz w:val="24"/>
            <w:szCs w:val="24"/>
          </w:rPr>
          <w:fldChar w:fldCharType="begin"/>
        </w:r>
        <w:r w:rsidRPr="001C37E4">
          <w:rPr>
            <w:rFonts w:ascii="Arial" w:hAnsi="Arial"/>
            <w:sz w:val="24"/>
            <w:szCs w:val="24"/>
          </w:rPr>
          <w:instrText xml:space="preserve"> ADDIN EN.CITE &lt;EndNote&gt;&lt;Cite&gt;&lt;Author&gt;Berger&lt;/Author&gt;&lt;Year&gt;2014&lt;/Year&gt;&lt;RecNum&gt;32&lt;/RecNum&gt;&lt;DisplayText&gt;&lt;style face="superscript"&gt;27&lt;/style&gt;&lt;/DisplayText&gt;&lt;record&gt;&lt;rec-number&gt;32&lt;/rec-number&gt;&lt;foreign-keys&gt;&lt;key app="EN" db-id="xvxp22tporswsuef09oxxv9ffpx2dwzspw5x" timestamp="1650679455"&gt;32&lt;/key&gt;&lt;/foreign-keys&gt;&lt;ref-type name="Book Section"&gt;5&lt;/ref-type&gt;&lt;contributors&gt;&lt;authors&gt;&lt;author&gt;Berger, Vance W.&lt;/author&gt;&lt;author&gt;Sankoh, A. J.&lt;/author&gt;&lt;/authors&gt;&lt;/contributors&gt;&lt;titles&gt;&lt;title&gt;Prognostic Variables in Clinical Trials&lt;/title&gt;&lt;secondary-title&gt;Methods and Applications of Statistics in Clinical Trials&lt;/secondary-title&gt;&lt;/titles&gt;&lt;pages&gt;789-798&lt;/pages&gt;&lt;dates&gt;&lt;year&gt;2014&lt;/year&gt;&lt;/dates&gt;&lt;urls&gt;&lt;related-urls&gt;&lt;url&gt;https://onlinelibrary.wiley.com/doi/abs/10.1002/9781118596005.ch67&lt;/url&gt;&lt;/related-urls&gt;&lt;/urls&gt;&lt;electronic-resource-num&gt;https://doi.org/10.1002/9781118596005.ch67&lt;/electronic-resource-num&gt;&lt;/record&gt;&lt;/Cite&gt;&lt;/EndNote&gt;</w:instrText>
        </w:r>
        <w:r w:rsidR="00E478F5">
          <w:rPr>
            <w:rFonts w:ascii="Arial" w:hAnsi="Arial"/>
            <w:sz w:val="24"/>
            <w:szCs w:val="24"/>
          </w:rPr>
          <w:fldChar w:fldCharType="separate"/>
        </w:r>
        <w:r w:rsidRPr="001C37E4">
          <w:rPr>
            <w:rFonts w:ascii="Arial" w:hAnsi="Arial"/>
            <w:sz w:val="24"/>
            <w:szCs w:val="24"/>
          </w:rPr>
          <w:fldChar w:fldCharType="end"/>
        </w:r>
      </w:hyperlink>
      <w:r w:rsidRPr="001C37E4">
        <w:rPr>
          <w:rFonts w:ascii="Arial" w:hAnsi="Arial"/>
          <w:sz w:val="24"/>
          <w:szCs w:val="24"/>
        </w:rPr>
        <w:t xml:space="preserve"> In this study, first, a list of potential prognostic factors and treatment-effect modifiers were identified </w:t>
      </w:r>
      <w:r w:rsidRPr="001C37E4">
        <w:rPr>
          <w:rFonts w:ascii="Arial" w:hAnsi="Arial"/>
          <w:i/>
          <w:iCs/>
          <w:sz w:val="24"/>
          <w:szCs w:val="24"/>
        </w:rPr>
        <w:t>a priori</w:t>
      </w:r>
      <w:r w:rsidRPr="001C37E4">
        <w:rPr>
          <w:rFonts w:ascii="Arial" w:hAnsi="Arial"/>
          <w:sz w:val="24"/>
          <w:szCs w:val="24"/>
        </w:rPr>
        <w:t xml:space="preserve"> based on a literature review and the Q-FFICIENCY, SMART-AF, and SMART-SF trials’ individual patient data. Next, univariate regressions were conducted to evaluate the prognostic strength of each factor considered for adjustment for both procedure time and </w:t>
      </w:r>
      <w:r w:rsidRPr="001C37E4">
        <w:rPr>
          <w:rFonts w:ascii="Arial" w:hAnsi="Arial"/>
          <w:sz w:val="24"/>
          <w:szCs w:val="24"/>
          <w:lang w:val="en-CA"/>
        </w:rPr>
        <w:t xml:space="preserve">clinical success </w:t>
      </w:r>
      <w:r w:rsidRPr="001C37E4">
        <w:rPr>
          <w:rFonts w:ascii="Arial" w:hAnsi="Arial"/>
          <w:sz w:val="24"/>
          <w:szCs w:val="24"/>
        </w:rPr>
        <w:t>outcomes. Differences of each factor between trials was assessed by calculating the standardized mean difference (SMD) where an SMD of 0–0.1, &gt;0.1 to ≤0.2, and &gt;0.2 indicated small difference, moderate difference, and substantial difference, respectively.</w:t>
      </w:r>
      <w:hyperlink w:anchor="_ENREF_28" w:tooltip="Austin, 2009 #8" w:history="1">
        <w:r w:rsidRPr="001C37E4">
          <w:rPr>
            <w:rFonts w:ascii="Arial" w:hAnsi="Arial"/>
            <w:sz w:val="24"/>
            <w:szCs w:val="24"/>
            <w:vertAlign w:val="superscript"/>
          </w:rPr>
          <w:t>28</w:t>
        </w:r>
        <w:r w:rsidRPr="001C37E4">
          <w:rPr>
            <w:rFonts w:ascii="Arial" w:hAnsi="Arial"/>
            <w:sz w:val="24"/>
            <w:szCs w:val="24"/>
          </w:rPr>
          <w:fldChar w:fldCharType="begin"/>
        </w:r>
        <w:r w:rsidRPr="001C37E4">
          <w:rPr>
            <w:rFonts w:ascii="Arial" w:hAnsi="Arial"/>
            <w:sz w:val="24"/>
            <w:szCs w:val="24"/>
          </w:rPr>
          <w:instrText xml:space="preserve"> ADDIN EN.CITE &lt;EndNote&gt;&lt;Cite&gt;&lt;Author&gt;Austin&lt;/Author&gt;&lt;Year&gt;2009&lt;/Year&gt;&lt;RecNum&gt;8&lt;/RecNum&gt;&lt;DisplayText&gt;&lt;style face="superscript"&gt;28&lt;/style&gt;&lt;/DisplayText&gt;&lt;record&gt;&lt;rec-number&gt;8&lt;/rec-number&gt;&lt;foreign-keys&gt;&lt;key app="EN" db-id="xvxp22tporswsuef09oxxv9ffpx2dwzspw5x" timestamp="1649565218"&gt;8&lt;/key&gt;&lt;/foreign-keys&gt;&lt;ref-type name="Journal Article"&gt;17&lt;/ref-type&gt;&lt;contributors&gt;&lt;authors&gt;&lt;author&gt;Austin, P. C.&lt;/author&gt;&lt;/authors&gt;&lt;/contributors&gt;&lt;auth-address&gt;Institute for Clinical Evaluative Sciences, G1 06, 2075 Bayview Avenue, Toronto, Ontario, Canada M4N 3M5. peter.austin@ices.on.ca&lt;/auth-address&gt;&lt;titles&gt;&lt;title&gt;Balance diagnostics for comparing the distribution of baseline covariates between treatment groups in propensity-score matched samples&lt;/title&gt;&lt;secondary-title&gt;Stat Med&lt;/secondary-title&gt;&lt;/titles&gt;&lt;periodical&gt;&lt;full-title&gt;Stat Med&lt;/full-title&gt;&lt;/periodical&gt;&lt;pages&gt;3083-107&lt;/pages&gt;&lt;volume&gt;28&lt;/volume&gt;&lt;number&gt;25&lt;/number&gt;&lt;edition&gt;2009/09/17&lt;/edition&gt;&lt;keywords&gt;&lt;keyword&gt;Aged&lt;/keyword&gt;&lt;keyword&gt;Biometry/*methods&lt;/keyword&gt;&lt;keyword&gt;*Computer Simulation&lt;/keyword&gt;&lt;keyword&gt;Female&lt;/keyword&gt;&lt;keyword&gt;Humans&lt;/keyword&gt;&lt;keyword&gt;Hydroxymethylglutaryl-CoA Reductase Inhibitors/administration &amp;amp; dosage/therapeutic&lt;/keyword&gt;&lt;keyword&gt;use&lt;/keyword&gt;&lt;keyword&gt;Male&lt;/keyword&gt;&lt;keyword&gt;Middle Aged&lt;/keyword&gt;&lt;keyword&gt;*Models, Statistical&lt;/keyword&gt;&lt;keyword&gt;Myocardial Infarction/drug therapy/prevention &amp;amp; control&lt;/keyword&gt;&lt;keyword&gt;*Propensity Score&lt;/keyword&gt;&lt;/keywords&gt;&lt;dates&gt;&lt;year&gt;2009&lt;/year&gt;&lt;pub-dates&gt;&lt;date&gt;Nov 10&lt;/date&gt;&lt;/pub-dates&gt;&lt;/dates&gt;&lt;isbn&gt;0277-6715 (Print)&amp;#xD;0277-6715&lt;/isbn&gt;&lt;accession-num&gt;19757444&lt;/accession-num&gt;&lt;urls&gt;&lt;/urls&gt;&lt;custom2&gt;PMC3472075&lt;/custom2&gt;&lt;electronic-resource-num&gt;10.1002/sim.3697&lt;/electronic-resource-num&gt;&lt;remote-database-provider&gt;NLM&lt;/remote-database-provider&gt;&lt;language&gt;eng&lt;/language&gt;&lt;/record&gt;&lt;/Cite&gt;&lt;/EndNote&gt;</w:instrText>
        </w:r>
        <w:r w:rsidR="00E478F5">
          <w:rPr>
            <w:rFonts w:ascii="Arial" w:hAnsi="Arial"/>
            <w:sz w:val="24"/>
            <w:szCs w:val="24"/>
          </w:rPr>
          <w:fldChar w:fldCharType="separate"/>
        </w:r>
        <w:r w:rsidRPr="001C37E4">
          <w:rPr>
            <w:rFonts w:ascii="Arial" w:hAnsi="Arial"/>
            <w:sz w:val="24"/>
            <w:szCs w:val="24"/>
          </w:rPr>
          <w:fldChar w:fldCharType="end"/>
        </w:r>
      </w:hyperlink>
      <w:r w:rsidRPr="001C37E4">
        <w:rPr>
          <w:rFonts w:ascii="Arial" w:hAnsi="Arial"/>
          <w:sz w:val="24"/>
          <w:szCs w:val="24"/>
        </w:rPr>
        <w:t xml:space="preserve"> The factors were then ordered from largest to smallest in the order of importance, considering both prognostic strength and cross-trial differences of each factor. The same ranking obtained for the procedure time analysis was used for the fluoroscopy time analysis. The same ranking obtained for the </w:t>
      </w:r>
      <w:r w:rsidRPr="001C37E4">
        <w:rPr>
          <w:rFonts w:ascii="Arial" w:hAnsi="Arial"/>
          <w:sz w:val="24"/>
          <w:szCs w:val="24"/>
          <w:lang w:val="en-CA"/>
        </w:rPr>
        <w:t xml:space="preserve">clinical success </w:t>
      </w:r>
      <w:r w:rsidRPr="001C37E4">
        <w:rPr>
          <w:rFonts w:ascii="Arial" w:hAnsi="Arial"/>
          <w:sz w:val="24"/>
          <w:szCs w:val="24"/>
        </w:rPr>
        <w:t>analysis was used for the atrial arrhythmia monitoring-adjusted recurrence analysis (</w:t>
      </w:r>
      <w:r w:rsidRPr="001C37E4">
        <w:rPr>
          <w:rFonts w:ascii="Arial" w:hAnsi="Arial"/>
          <w:b/>
          <w:sz w:val="24"/>
          <w:szCs w:val="24"/>
        </w:rPr>
        <w:t>Appendix 2</w:t>
      </w:r>
      <w:r w:rsidRPr="001C37E4">
        <w:rPr>
          <w:rFonts w:ascii="Arial" w:hAnsi="Arial"/>
          <w:sz w:val="24"/>
          <w:szCs w:val="24"/>
        </w:rPr>
        <w:t>).</w:t>
      </w:r>
    </w:p>
    <w:p w14:paraId="72DB625D" w14:textId="77777777" w:rsidR="001C37E4" w:rsidRPr="001C37E4" w:rsidRDefault="001C37E4" w:rsidP="001C37E4">
      <w:pPr>
        <w:keepNext/>
        <w:rPr>
          <w:rFonts w:ascii="Arial" w:hAnsi="Arial"/>
          <w:b/>
          <w:bCs/>
          <w:i/>
          <w:iCs/>
        </w:rPr>
      </w:pPr>
      <w:r w:rsidRPr="001C37E4">
        <w:rPr>
          <w:rFonts w:ascii="Arial" w:hAnsi="Arial"/>
          <w:b/>
          <w:bCs/>
          <w:i/>
          <w:iCs/>
        </w:rPr>
        <w:t>Inverse Probability of Treatment Weighting</w:t>
      </w:r>
    </w:p>
    <w:p w14:paraId="65596D83" w14:textId="77777777" w:rsidR="001C37E4" w:rsidRPr="001C37E4" w:rsidRDefault="001C37E4" w:rsidP="001C37E4">
      <w:pPr>
        <w:rPr>
          <w:rFonts w:ascii="Arial" w:hAnsi="Arial"/>
          <w:color w:val="000000"/>
          <w:sz w:val="24"/>
          <w:szCs w:val="24"/>
          <w:shd w:val="clear" w:color="auto" w:fill="FFFFFF"/>
        </w:rPr>
      </w:pPr>
      <w:r w:rsidRPr="001C37E4">
        <w:rPr>
          <w:rFonts w:ascii="Arial" w:hAnsi="Arial"/>
          <w:sz w:val="24"/>
          <w:szCs w:val="24"/>
          <w:lang w:val="en-CA"/>
        </w:rPr>
        <w:t>The weights were derived from propensity scores</w:t>
      </w:r>
      <w:hyperlink w:anchor="_ENREF_29" w:tooltip="Rosenbaum, 1983 #14" w:history="1">
        <w:r w:rsidRPr="001C37E4">
          <w:rPr>
            <w:rFonts w:ascii="Arial" w:hAnsi="Arial"/>
            <w:sz w:val="24"/>
            <w:szCs w:val="24"/>
            <w:vertAlign w:val="superscript"/>
            <w:lang w:val="en-CA"/>
          </w:rPr>
          <w:t>29</w:t>
        </w:r>
        <w:r w:rsidRPr="001C37E4">
          <w:rPr>
            <w:rFonts w:ascii="Arial" w:hAnsi="Arial"/>
            <w:sz w:val="24"/>
            <w:szCs w:val="24"/>
            <w:lang w:val="en-CA"/>
          </w:rPr>
          <w:fldChar w:fldCharType="begin"/>
        </w:r>
        <w:r w:rsidRPr="001C37E4">
          <w:rPr>
            <w:rFonts w:ascii="Arial" w:hAnsi="Arial"/>
            <w:sz w:val="24"/>
            <w:szCs w:val="24"/>
            <w:lang w:val="en-CA"/>
          </w:rPr>
          <w:instrText xml:space="preserve"> ADDIN EN.CITE &lt;EndNote&gt;&lt;Cite&gt;&lt;Author&gt;Rosenbaum&lt;/Author&gt;&lt;Year&gt;1983&lt;/Year&gt;&lt;RecNum&gt;14&lt;/RecNum&gt;&lt;DisplayText&gt;&lt;style face="superscript"&gt;29&lt;/style&gt;&lt;/DisplayText&gt;&lt;record&gt;&lt;rec-number&gt;14&lt;/rec-number&gt;&lt;foreign-keys&gt;&lt;key app="EN" db-id="xvxp22tporswsuef09oxxv9ffpx2dwzspw5x" timestamp="1649566324"&gt;14&lt;/key&gt;&lt;/foreign-keys&gt;&lt;ref-type name="Journal Article"&gt;17&lt;/ref-type&gt;&lt;contributors&gt;&lt;authors&gt;&lt;author&gt;Rosenbaum, P.R. &lt;/author&gt;&lt;author&gt;Rubin, D.B.&lt;/author&gt;&lt;/authors&gt;&lt;/contributors&gt;&lt;titles&gt;&lt;title&gt;The central role of the propensity score in observational studies for causal effects. &lt;/title&gt;&lt;secondary-title&gt;Biometrika&lt;/secondary-title&gt;&lt;/titles&gt;&lt;periodical&gt;&lt;full-title&gt;Biometrika&lt;/full-title&gt;&lt;/periodical&gt;&lt;pages&gt;41-55&lt;/pages&gt;&lt;volume&gt;70&lt;/volume&gt;&lt;number&gt;1&lt;/number&gt;&lt;dates&gt;&lt;year&gt;1983&lt;/year&gt;&lt;/dates&gt;&lt;urls&gt;&lt;/urls&gt;&lt;/record&gt;&lt;/Cite&gt;&lt;/EndNote&gt;</w:instrText>
        </w:r>
        <w:r w:rsidR="00E478F5">
          <w:rPr>
            <w:rFonts w:ascii="Arial" w:hAnsi="Arial"/>
            <w:sz w:val="24"/>
            <w:szCs w:val="24"/>
            <w:lang w:val="en-CA"/>
          </w:rPr>
          <w:fldChar w:fldCharType="separate"/>
        </w:r>
        <w:r w:rsidRPr="001C37E4">
          <w:rPr>
            <w:rFonts w:ascii="Arial" w:hAnsi="Arial"/>
            <w:sz w:val="24"/>
            <w:szCs w:val="24"/>
            <w:lang w:val="en-CA"/>
          </w:rPr>
          <w:fldChar w:fldCharType="end"/>
        </w:r>
      </w:hyperlink>
      <w:r w:rsidRPr="001C37E4">
        <w:rPr>
          <w:rFonts w:ascii="Arial" w:hAnsi="Arial"/>
          <w:sz w:val="24"/>
          <w:szCs w:val="24"/>
          <w:lang w:val="en-CA"/>
        </w:rPr>
        <w:t xml:space="preserve"> which were calculated using a logistic regression model that predicted assignment to Q-FFICIENCY trial as a function of the selected baseline characteristics.</w:t>
      </w:r>
      <w:r w:rsidRPr="001C37E4">
        <w:rPr>
          <w:rFonts w:ascii="Arial" w:hAnsi="Arial"/>
          <w:color w:val="000000"/>
          <w:sz w:val="24"/>
          <w:szCs w:val="24"/>
          <w:shd w:val="clear" w:color="auto" w:fill="FFFFFF"/>
        </w:rPr>
        <w:t xml:space="preserve"> Average treatment effect in the treated weighting was </w:t>
      </w:r>
      <w:r w:rsidRPr="001C37E4">
        <w:rPr>
          <w:rFonts w:ascii="Arial" w:hAnsi="Arial"/>
          <w:color w:val="000000"/>
          <w:sz w:val="24"/>
          <w:szCs w:val="24"/>
          <w:shd w:val="clear" w:color="auto" w:fill="FFFFFF"/>
        </w:rPr>
        <w:lastRenderedPageBreak/>
        <w:t>used, wherein patients from Q-FFICIENCY were kept as observed (i.e., received a weight of one), and patients in the pooled SMART-AF and SMART-SF cohort received a weight of p/(1 − p), where p is the propensity score predicting inclusion in the Q-FFICIENCY trial.</w:t>
      </w:r>
      <w:hyperlink w:anchor="_ENREF_10" w:tooltip="Li, 2018 #15" w:history="1">
        <w:r w:rsidRPr="001C37E4">
          <w:rPr>
            <w:rFonts w:ascii="Arial" w:hAnsi="Arial"/>
            <w:sz w:val="24"/>
            <w:szCs w:val="24"/>
            <w:vertAlign w:val="superscript"/>
            <w:lang w:val="en-CA"/>
          </w:rPr>
          <w:t>10</w:t>
        </w:r>
        <w:r w:rsidRPr="001C37E4">
          <w:rPr>
            <w:rFonts w:ascii="Arial" w:hAnsi="Arial"/>
            <w:sz w:val="24"/>
            <w:szCs w:val="24"/>
            <w:lang w:val="en-CA"/>
          </w:rPr>
          <w:fldChar w:fldCharType="begin"/>
        </w:r>
        <w:r w:rsidRPr="001C37E4">
          <w:rPr>
            <w:rFonts w:ascii="Arial" w:hAnsi="Arial"/>
            <w:sz w:val="24"/>
            <w:szCs w:val="24"/>
            <w:lang w:val="en-CA"/>
          </w:rPr>
          <w:instrText xml:space="preserve"> ADDIN EN.CITE &lt;EndNote&gt;&lt;Cite&gt;&lt;Author&gt;Li&lt;/Author&gt;&lt;Year&gt;2018&lt;/Year&gt;&lt;RecNum&gt;15&lt;/RecNum&gt;&lt;DisplayText&gt;&lt;style face="superscript"&gt;10&lt;/style&gt;&lt;/DisplayText&gt;&lt;record&gt;&lt;rec-number&gt;15&lt;/rec-number&gt;&lt;foreign-keys&gt;&lt;key app="EN" db-id="xvxp22tporswsuef09oxxv9ffpx2dwzspw5x" timestamp="1649566495"&gt;15&lt;/key&gt;&lt;/foreign-keys&gt;&lt;ref-type name="Journal Article"&gt;17&lt;/ref-type&gt;&lt;contributors&gt;&lt;authors&gt;&lt;author&gt;Li, F. &lt;/author&gt;&lt;author&gt;Morgan, K.L. &lt;/author&gt;&lt;author&gt;Zaslavsky, A.M. &lt;/author&gt;&lt;/authors&gt;&lt;/contributors&gt;&lt;titles&gt;&lt;title&gt;Balancing covariates via propensity score weighting. &lt;/title&gt;&lt;secondary-title&gt;J Am Stat Assoc &lt;/secondary-title&gt;&lt;/titles&gt;&lt;pages&gt;390-400&lt;/pages&gt;&lt;volume&gt;113&lt;/volume&gt;&lt;number&gt;521&lt;/number&gt;&lt;dates&gt;&lt;year&gt;2018&lt;/year&gt;&lt;/dates&gt;&lt;urls&gt;&lt;/urls&gt;&lt;/record&gt;&lt;/Cite&gt;&lt;/EndNote&gt;</w:instrText>
        </w:r>
        <w:r w:rsidR="00E478F5">
          <w:rPr>
            <w:rFonts w:ascii="Arial" w:hAnsi="Arial"/>
            <w:sz w:val="24"/>
            <w:szCs w:val="24"/>
            <w:lang w:val="en-CA"/>
          </w:rPr>
          <w:fldChar w:fldCharType="separate"/>
        </w:r>
        <w:r w:rsidRPr="001C37E4">
          <w:rPr>
            <w:rFonts w:ascii="Arial" w:hAnsi="Arial"/>
            <w:sz w:val="24"/>
            <w:szCs w:val="24"/>
            <w:lang w:val="en-CA"/>
          </w:rPr>
          <w:fldChar w:fldCharType="end"/>
        </w:r>
      </w:hyperlink>
    </w:p>
    <w:p w14:paraId="32CB31CD" w14:textId="77777777" w:rsidR="001C37E4" w:rsidRPr="001C37E4" w:rsidRDefault="001C37E4" w:rsidP="001C37E4">
      <w:pPr>
        <w:rPr>
          <w:rFonts w:ascii="Arial" w:hAnsi="Arial"/>
          <w:b/>
          <w:bCs/>
          <w:i/>
          <w:iCs/>
        </w:rPr>
      </w:pPr>
      <w:r w:rsidRPr="001C37E4">
        <w:rPr>
          <w:rFonts w:ascii="Arial" w:hAnsi="Arial"/>
          <w:b/>
          <w:bCs/>
          <w:i/>
          <w:iCs/>
        </w:rPr>
        <w:t xml:space="preserve">Estimating Comparative Efficiency and Effectiveness </w:t>
      </w:r>
    </w:p>
    <w:p w14:paraId="38425EF0" w14:textId="77777777" w:rsidR="001C37E4" w:rsidRPr="001C37E4" w:rsidRDefault="001C37E4" w:rsidP="001C37E4">
      <w:pPr>
        <w:rPr>
          <w:rFonts w:ascii="Arial" w:hAnsi="Arial"/>
          <w:sz w:val="24"/>
          <w:szCs w:val="24"/>
          <w:lang w:val="en-CA"/>
        </w:rPr>
      </w:pPr>
      <w:r w:rsidRPr="001C37E4">
        <w:rPr>
          <w:rFonts w:ascii="Arial" w:hAnsi="Arial"/>
          <w:sz w:val="24"/>
          <w:szCs w:val="24"/>
          <w:lang w:val="en-CA"/>
        </w:rPr>
        <w:t xml:space="preserve">The comparative effectiveness of QDOT to pooled ST/STSF was determined in terms of procedure time, fluoroscopy time, clinical success at 12 months, and </w:t>
      </w:r>
      <w:r w:rsidRPr="001C37E4">
        <w:rPr>
          <w:rFonts w:ascii="Arial" w:hAnsi="Arial"/>
          <w:sz w:val="24"/>
          <w:szCs w:val="24"/>
        </w:rPr>
        <w:t xml:space="preserve">rhythm monitoring-adjusted </w:t>
      </w:r>
      <w:r w:rsidRPr="001C37E4">
        <w:rPr>
          <w:rFonts w:ascii="Arial" w:hAnsi="Arial"/>
          <w:sz w:val="24"/>
          <w:szCs w:val="24"/>
          <w:lang w:val="en-CA"/>
        </w:rPr>
        <w:t xml:space="preserve">recurrence. Comparative effectiveness was estimated using both the unadjusted (or </w:t>
      </w:r>
      <w:r w:rsidRPr="001C37E4">
        <w:rPr>
          <w:rFonts w:ascii="Arial" w:hAnsi="Arial"/>
          <w:sz w:val="24"/>
          <w:szCs w:val="24"/>
        </w:rPr>
        <w:t>naïve</w:t>
      </w:r>
      <w:r w:rsidRPr="001C37E4">
        <w:rPr>
          <w:rFonts w:ascii="Arial" w:hAnsi="Arial"/>
          <w:sz w:val="24"/>
          <w:szCs w:val="24"/>
          <w:lang w:val="en-CA"/>
        </w:rPr>
        <w:t xml:space="preserve">) comparison (i.e., QDOT versus pooled ST/STSF prior to IPTW), and the adjusted comparison (i.e., with IPTW). </w:t>
      </w:r>
    </w:p>
    <w:p w14:paraId="6540F261" w14:textId="77777777" w:rsidR="001C37E4" w:rsidRPr="001C37E4" w:rsidRDefault="001C37E4" w:rsidP="001C37E4">
      <w:pPr>
        <w:rPr>
          <w:rFonts w:ascii="Arial" w:hAnsi="Arial"/>
          <w:sz w:val="24"/>
          <w:szCs w:val="24"/>
          <w:lang w:val="en-CA"/>
        </w:rPr>
      </w:pPr>
      <w:r w:rsidRPr="001C37E4">
        <w:rPr>
          <w:rFonts w:ascii="Arial" w:hAnsi="Arial"/>
          <w:sz w:val="24"/>
          <w:szCs w:val="24"/>
          <w:lang w:val="en-CA"/>
        </w:rPr>
        <w:t xml:space="preserve">For procedure time and fluoroscopy time (continuous outcomes), a generalized linear model with a log link (with weights applied for the adjusted comparison) was used to estimate a ratio of means (RoM) and 95% confidence interval (CI). The variance was estimated using a robust sandwich variance estimator. </w:t>
      </w:r>
    </w:p>
    <w:p w14:paraId="079F613D" w14:textId="77777777" w:rsidR="001C37E4" w:rsidRPr="001C37E4" w:rsidRDefault="001C37E4" w:rsidP="001C37E4">
      <w:pPr>
        <w:rPr>
          <w:rFonts w:ascii="Arial" w:hAnsi="Arial"/>
          <w:sz w:val="24"/>
          <w:szCs w:val="24"/>
          <w:lang w:val="en-CA"/>
        </w:rPr>
      </w:pPr>
      <w:r w:rsidRPr="001C37E4">
        <w:rPr>
          <w:rFonts w:ascii="Arial" w:hAnsi="Arial"/>
          <w:sz w:val="24"/>
          <w:szCs w:val="24"/>
          <w:lang w:val="en-CA"/>
        </w:rPr>
        <w:t xml:space="preserve">For clinical success at 12 months (time-to-event outcome), a Cox proportional hazards model (with weights applied for the adjusted comparison) was used to estimate hazard ratio (HR) and 95% CI. The variance was estimated using a robust sandwich variance estimator. The proportional hazards assumption was assessed based on visual inspection of the log-cumulative hazard plot, visual inspection of the Schoenfeld residuals plot, and performance of the Grambsch-Therneau test (with a </w:t>
      </w:r>
      <w:r w:rsidRPr="001C37E4">
        <w:rPr>
          <w:rFonts w:ascii="Arial" w:hAnsi="Arial"/>
          <w:i/>
          <w:iCs/>
          <w:sz w:val="24"/>
          <w:szCs w:val="24"/>
          <w:lang w:val="en-CA"/>
        </w:rPr>
        <w:t>P</w:t>
      </w:r>
      <w:r w:rsidRPr="001C37E4">
        <w:rPr>
          <w:rFonts w:ascii="Arial" w:hAnsi="Arial"/>
          <w:sz w:val="24"/>
          <w:szCs w:val="24"/>
          <w:lang w:val="en-CA"/>
        </w:rPr>
        <w:t>-value &lt;0.05 considered to indicate a violation of the assumption).</w:t>
      </w:r>
      <w:hyperlink w:anchor="_ENREF_30" w:tooltip="Grambsch, 1994 #16" w:history="1">
        <w:r w:rsidRPr="001C37E4">
          <w:rPr>
            <w:rFonts w:ascii="Arial" w:hAnsi="Arial"/>
            <w:sz w:val="24"/>
            <w:szCs w:val="24"/>
            <w:vertAlign w:val="superscript"/>
            <w:lang w:val="en-CA"/>
          </w:rPr>
          <w:t>30</w:t>
        </w:r>
        <w:r w:rsidRPr="001C37E4">
          <w:rPr>
            <w:rFonts w:ascii="Arial" w:hAnsi="Arial"/>
            <w:sz w:val="24"/>
            <w:szCs w:val="24"/>
            <w:lang w:val="en-CA"/>
          </w:rPr>
          <w:fldChar w:fldCharType="begin"/>
        </w:r>
        <w:r w:rsidRPr="001C37E4">
          <w:rPr>
            <w:rFonts w:ascii="Arial" w:hAnsi="Arial"/>
            <w:sz w:val="24"/>
            <w:szCs w:val="24"/>
            <w:lang w:val="en-CA"/>
          </w:rPr>
          <w:instrText xml:space="preserve"> ADDIN EN.CITE &lt;EndNote&gt;&lt;Cite&gt;&lt;Author&gt;Grambsch&lt;/Author&gt;&lt;Year&gt;1994&lt;/Year&gt;&lt;RecNum&gt;16&lt;/RecNum&gt;&lt;DisplayText&gt;&lt;style face="superscript"&gt;30&lt;/style&gt;&lt;/DisplayText&gt;&lt;record&gt;&lt;rec-number&gt;16&lt;/rec-number&gt;&lt;foreign-keys&gt;&lt;key app="EN" db-id="xvxp22tporswsuef09oxxv9ffpx2dwzspw5x" timestamp="1649566679"&gt;16&lt;/key&gt;&lt;/foreign-keys&gt;&lt;ref-type name="Journal Article"&gt;17&lt;/ref-type&gt;&lt;contributors&gt;&lt;authors&gt;&lt;author&gt;Grambsch, P.M. &lt;/author&gt;&lt;author&gt;Therneau, T.M. &lt;/author&gt;&lt;/authors&gt;&lt;/contributors&gt;&lt;titles&gt;&lt;title&gt;Proportional hazards tests and diagnostics based on weighted residuals.&lt;/title&gt;&lt;secondary-title&gt;Biometrika&lt;/secondary-title&gt;&lt;/titles&gt;&lt;periodical&gt;&lt;full-title&gt;Biometrika&lt;/full-title&gt;&lt;/periodical&gt;&lt;pages&gt;515-526&lt;/pages&gt;&lt;volume&gt;81 &lt;/volume&gt;&lt;number&gt;3&lt;/number&gt;&lt;dates&gt;&lt;year&gt;1994&lt;/year&gt;&lt;/dates&gt;&lt;urls&gt;&lt;/urls&gt;&lt;/record&gt;&lt;/Cite&gt;&lt;/EndNote&gt;</w:instrText>
        </w:r>
        <w:r w:rsidR="00E478F5">
          <w:rPr>
            <w:rFonts w:ascii="Arial" w:hAnsi="Arial"/>
            <w:sz w:val="24"/>
            <w:szCs w:val="24"/>
            <w:lang w:val="en-CA"/>
          </w:rPr>
          <w:fldChar w:fldCharType="separate"/>
        </w:r>
        <w:r w:rsidRPr="001C37E4">
          <w:rPr>
            <w:rFonts w:ascii="Arial" w:hAnsi="Arial"/>
            <w:sz w:val="24"/>
            <w:szCs w:val="24"/>
            <w:lang w:val="en-CA"/>
          </w:rPr>
          <w:fldChar w:fldCharType="end"/>
        </w:r>
      </w:hyperlink>
      <w:r w:rsidRPr="001C37E4">
        <w:rPr>
          <w:rFonts w:ascii="Arial" w:hAnsi="Arial"/>
          <w:sz w:val="24"/>
          <w:szCs w:val="24"/>
          <w:lang w:val="en-CA"/>
        </w:rPr>
        <w:t xml:space="preserve"> </w:t>
      </w:r>
    </w:p>
    <w:p w14:paraId="08620727" w14:textId="77777777" w:rsidR="001C37E4" w:rsidRPr="001C37E4" w:rsidRDefault="001C37E4" w:rsidP="001C37E4">
      <w:pPr>
        <w:rPr>
          <w:rFonts w:ascii="Arial" w:hAnsi="Arial"/>
          <w:sz w:val="24"/>
          <w:szCs w:val="24"/>
          <w:highlight w:val="yellow"/>
        </w:rPr>
      </w:pPr>
      <w:r w:rsidRPr="001C37E4">
        <w:rPr>
          <w:rFonts w:ascii="Arial" w:hAnsi="Arial"/>
          <w:sz w:val="24"/>
          <w:szCs w:val="24"/>
        </w:rPr>
        <w:t xml:space="preserve">Differences in the intensity and frequency of rhythm monitoring may underestimate or overestimate the incidence of arrhythmia recurrence post-ablation, and such differences in trial methods are not typically adjusted for in IPTW. The comparison of rhythm monitoring strategies used in the Q-FFICIENCY, SMART-AF, and SMART-SF trials revealed differences in the monitoring frequency and methods. Rhythm monitoring was scheduled at 1-, 3-, 6-, and 12-month follow-up in the Q-FFICIENCY and SMART-AF trials. Patients in the SMART-AF trial were also monitored at 9-month follow-up. In contrast, scheduled monitoring in the SMART-SF trial occurred at 1- and 12-month follow-up, and once between 6- and 9-month follow-up. The Q-FFICIENCY and SMART-AF trials also included unscheduled monitoring, whereas the SMART-SF trial did not. All trials monitored rhythm using ECG, however, the Q-FFICIENCY trial included use of 24-hour Holter monitoring and TTM, the SMART-AF trial included use of TTM, and the SMART-SF trial included use of 1- to 7-day Holter monitoring. </w:t>
      </w:r>
    </w:p>
    <w:p w14:paraId="4AC96F26" w14:textId="29FB3AF6" w:rsidR="000E6B97" w:rsidRDefault="00623CB0" w:rsidP="000E6B97">
      <w:pPr>
        <w:rPr>
          <w:rFonts w:ascii="Arial" w:hAnsi="Arial"/>
          <w:b/>
          <w:bCs/>
          <w:sz w:val="20"/>
          <w:szCs w:val="20"/>
        </w:rPr>
      </w:pPr>
      <w:r w:rsidRPr="00623CB0">
        <w:rPr>
          <w:rFonts w:ascii="Arial" w:hAnsi="Arial"/>
          <w:sz w:val="24"/>
          <w:szCs w:val="24"/>
        </w:rPr>
        <w:t xml:space="preserve">To account for differences in monitoring encounters that may have led to missed observed atrial arrhythmia recurrence events, analyses were conducted to predict observed atrial arrhythmia recurrence events in the SMART-AF and SMART-SF studies </w:t>
      </w:r>
      <w:r w:rsidRPr="00623CB0">
        <w:rPr>
          <w:rFonts w:ascii="Arial" w:hAnsi="Arial"/>
          <w:sz w:val="24"/>
          <w:szCs w:val="24"/>
        </w:rPr>
        <w:lastRenderedPageBreak/>
        <w:t>through standardizing the number of monitoring encounters to those in the Q-FFICIENCY study. This approach assumed that increased monitoring in any given trial would result in increased additional events</w:t>
      </w:r>
      <w:r>
        <w:rPr>
          <w:rFonts w:ascii="Arial" w:hAnsi="Arial"/>
          <w:sz w:val="24"/>
          <w:szCs w:val="24"/>
        </w:rPr>
        <w:t xml:space="preserve">. </w:t>
      </w:r>
      <w:r w:rsidR="001C37E4" w:rsidRPr="001C37E4">
        <w:rPr>
          <w:rFonts w:ascii="Arial" w:hAnsi="Arial"/>
          <w:sz w:val="24"/>
          <w:szCs w:val="24"/>
          <w:lang w:val="en-CA"/>
        </w:rPr>
        <w:t xml:space="preserve">A negative binomial regression model with an offset for the number of potential monitoring encounters (with weights applied for the adjusted comparison) was used to derive a rate ratio (RR) and 95% CI. </w:t>
      </w:r>
      <w:r w:rsidR="000E6B97">
        <w:rPr>
          <w:rFonts w:ascii="Arial" w:hAnsi="Arial"/>
          <w:b/>
          <w:bCs/>
          <w:sz w:val="20"/>
          <w:szCs w:val="20"/>
        </w:rPr>
        <w:br w:type="page"/>
      </w:r>
    </w:p>
    <w:p w14:paraId="74E79648" w14:textId="73E59D1E" w:rsidR="001C37E4" w:rsidRPr="001C37E4" w:rsidRDefault="001C37E4" w:rsidP="001C37E4">
      <w:pPr>
        <w:keepNext/>
        <w:spacing w:before="480" w:after="60"/>
        <w:jc w:val="left"/>
        <w:rPr>
          <w:rFonts w:ascii="Arial" w:hAnsi="Arial"/>
          <w:b/>
          <w:bCs/>
          <w:sz w:val="20"/>
          <w:szCs w:val="20"/>
        </w:rPr>
      </w:pPr>
      <w:r w:rsidRPr="001C37E4">
        <w:rPr>
          <w:rFonts w:ascii="Arial" w:hAnsi="Arial"/>
          <w:b/>
          <w:bCs/>
          <w:sz w:val="20"/>
          <w:szCs w:val="20"/>
        </w:rPr>
        <w:lastRenderedPageBreak/>
        <w:t>Appendix 2: Ranking of prognostic factors and availability in Q-FFICIENCY, SMART-AF, and SMART-SF cohorts</w:t>
      </w:r>
    </w:p>
    <w:tbl>
      <w:tblPr>
        <w:tblStyle w:val="TableGrid"/>
        <w:tblW w:w="0" w:type="auto"/>
        <w:tblLook w:val="04A0" w:firstRow="1" w:lastRow="0" w:firstColumn="1" w:lastColumn="0" w:noHBand="0" w:noVBand="1"/>
      </w:tblPr>
      <w:tblGrid>
        <w:gridCol w:w="3116"/>
        <w:gridCol w:w="3117"/>
        <w:gridCol w:w="3117"/>
      </w:tblGrid>
      <w:tr w:rsidR="001C37E4" w:rsidRPr="001C37E4" w14:paraId="621DDF61" w14:textId="77777777" w:rsidTr="001C37E4">
        <w:tc>
          <w:tcPr>
            <w:tcW w:w="3116" w:type="dxa"/>
            <w:shd w:val="clear" w:color="auto" w:fill="D9D9D9"/>
            <w:vAlign w:val="center"/>
          </w:tcPr>
          <w:p w14:paraId="737D4E5A" w14:textId="77777777" w:rsidR="001C37E4" w:rsidRPr="001C37E4" w:rsidRDefault="001C37E4" w:rsidP="001C37E4">
            <w:pPr>
              <w:spacing w:after="0" w:line="240" w:lineRule="auto"/>
              <w:jc w:val="left"/>
              <w:rPr>
                <w:rFonts w:ascii="Arial" w:hAnsi="Arial"/>
                <w:b/>
                <w:sz w:val="18"/>
                <w:szCs w:val="18"/>
              </w:rPr>
            </w:pPr>
            <w:r w:rsidRPr="001C37E4">
              <w:rPr>
                <w:rFonts w:ascii="Arial" w:hAnsi="Arial"/>
                <w:b/>
                <w:sz w:val="18"/>
                <w:szCs w:val="18"/>
              </w:rPr>
              <w:t>Prognostic Factor</w:t>
            </w:r>
          </w:p>
        </w:tc>
        <w:tc>
          <w:tcPr>
            <w:tcW w:w="3117" w:type="dxa"/>
            <w:shd w:val="clear" w:color="auto" w:fill="D9D9D9"/>
          </w:tcPr>
          <w:p w14:paraId="2933B8D3" w14:textId="77777777" w:rsidR="001C37E4" w:rsidRPr="001C37E4" w:rsidRDefault="001C37E4" w:rsidP="001C37E4">
            <w:pPr>
              <w:spacing w:after="0" w:line="240" w:lineRule="auto"/>
              <w:jc w:val="center"/>
              <w:rPr>
                <w:rFonts w:ascii="Arial" w:hAnsi="Arial"/>
                <w:b/>
                <w:sz w:val="18"/>
                <w:szCs w:val="18"/>
              </w:rPr>
            </w:pPr>
            <w:r w:rsidRPr="001C37E4">
              <w:rPr>
                <w:rFonts w:ascii="Arial" w:hAnsi="Arial"/>
                <w:b/>
                <w:sz w:val="18"/>
                <w:szCs w:val="18"/>
              </w:rPr>
              <w:t xml:space="preserve">Procedure Time </w:t>
            </w:r>
            <w:r w:rsidRPr="001C37E4">
              <w:rPr>
                <w:rFonts w:ascii="Arial" w:hAnsi="Arial"/>
                <w:b/>
                <w:bCs/>
                <w:sz w:val="18"/>
                <w:szCs w:val="18"/>
              </w:rPr>
              <w:t xml:space="preserve">and Fluoroscopy Time </w:t>
            </w:r>
            <w:r w:rsidRPr="001C37E4">
              <w:rPr>
                <w:rFonts w:ascii="Arial" w:hAnsi="Arial"/>
                <w:b/>
                <w:sz w:val="18"/>
                <w:szCs w:val="18"/>
              </w:rPr>
              <w:t>Ranking</w:t>
            </w:r>
          </w:p>
        </w:tc>
        <w:tc>
          <w:tcPr>
            <w:tcW w:w="3117" w:type="dxa"/>
            <w:shd w:val="clear" w:color="auto" w:fill="D9D9D9"/>
          </w:tcPr>
          <w:p w14:paraId="4046404F" w14:textId="77777777" w:rsidR="001C37E4" w:rsidRPr="001C37E4" w:rsidRDefault="001C37E4" w:rsidP="001C37E4">
            <w:pPr>
              <w:spacing w:after="0" w:line="240" w:lineRule="auto"/>
              <w:jc w:val="center"/>
              <w:rPr>
                <w:rFonts w:ascii="Arial" w:hAnsi="Arial"/>
                <w:b/>
                <w:sz w:val="18"/>
                <w:szCs w:val="18"/>
              </w:rPr>
            </w:pPr>
            <w:r w:rsidRPr="001C37E4">
              <w:rPr>
                <w:rFonts w:ascii="Arial" w:hAnsi="Arial"/>
                <w:b/>
                <w:sz w:val="18"/>
                <w:szCs w:val="18"/>
              </w:rPr>
              <w:t xml:space="preserve">Clinical Success at 12 months </w:t>
            </w:r>
            <w:r w:rsidRPr="001C37E4">
              <w:rPr>
                <w:rFonts w:ascii="Arial" w:hAnsi="Arial"/>
                <w:b/>
                <w:bCs/>
                <w:sz w:val="18"/>
                <w:szCs w:val="18"/>
              </w:rPr>
              <w:t>and Atrial Arrhythmia</w:t>
            </w:r>
            <w:r w:rsidRPr="001C37E4">
              <w:rPr>
                <w:rFonts w:ascii="Arial" w:hAnsi="Arial"/>
                <w:sz w:val="18"/>
                <w:szCs w:val="18"/>
              </w:rPr>
              <w:t xml:space="preserve"> </w:t>
            </w:r>
            <w:r w:rsidRPr="001C37E4">
              <w:rPr>
                <w:rFonts w:ascii="Arial" w:hAnsi="Arial"/>
                <w:b/>
                <w:bCs/>
                <w:sz w:val="18"/>
                <w:szCs w:val="18"/>
              </w:rPr>
              <w:t xml:space="preserve">Recurrence </w:t>
            </w:r>
            <w:r w:rsidRPr="001C37E4">
              <w:rPr>
                <w:rFonts w:ascii="Arial" w:hAnsi="Arial"/>
                <w:b/>
                <w:sz w:val="18"/>
                <w:szCs w:val="18"/>
              </w:rPr>
              <w:t>Ranking</w:t>
            </w:r>
          </w:p>
        </w:tc>
      </w:tr>
      <w:tr w:rsidR="001C37E4" w:rsidRPr="001C37E4" w14:paraId="1EEC8DF0" w14:textId="77777777" w:rsidTr="00EC53DB">
        <w:tc>
          <w:tcPr>
            <w:tcW w:w="3116" w:type="dxa"/>
          </w:tcPr>
          <w:p w14:paraId="2F0F6D6C"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Race</w:t>
            </w:r>
          </w:p>
        </w:tc>
        <w:tc>
          <w:tcPr>
            <w:tcW w:w="3117" w:type="dxa"/>
          </w:tcPr>
          <w:p w14:paraId="7DE59243"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1</w:t>
            </w:r>
          </w:p>
        </w:tc>
        <w:tc>
          <w:tcPr>
            <w:tcW w:w="3117" w:type="dxa"/>
          </w:tcPr>
          <w:p w14:paraId="6B28FFDC"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1</w:t>
            </w:r>
          </w:p>
        </w:tc>
      </w:tr>
      <w:tr w:rsidR="001C37E4" w:rsidRPr="001C37E4" w14:paraId="7AA6D2D2" w14:textId="77777777" w:rsidTr="00EC53DB">
        <w:tc>
          <w:tcPr>
            <w:tcW w:w="3116" w:type="dxa"/>
          </w:tcPr>
          <w:p w14:paraId="740E0321"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Age</w:t>
            </w:r>
          </w:p>
        </w:tc>
        <w:tc>
          <w:tcPr>
            <w:tcW w:w="3117" w:type="dxa"/>
          </w:tcPr>
          <w:p w14:paraId="589B0C1D"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2</w:t>
            </w:r>
          </w:p>
        </w:tc>
        <w:tc>
          <w:tcPr>
            <w:tcW w:w="3117" w:type="dxa"/>
          </w:tcPr>
          <w:p w14:paraId="4F2C8994"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4</w:t>
            </w:r>
          </w:p>
        </w:tc>
      </w:tr>
      <w:tr w:rsidR="001C37E4" w:rsidRPr="001C37E4" w14:paraId="5C22D3A1" w14:textId="77777777" w:rsidTr="00EC53DB">
        <w:tc>
          <w:tcPr>
            <w:tcW w:w="3116" w:type="dxa"/>
          </w:tcPr>
          <w:p w14:paraId="6CF2BD3E"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Thromboembolic event</w:t>
            </w:r>
          </w:p>
        </w:tc>
        <w:tc>
          <w:tcPr>
            <w:tcW w:w="3117" w:type="dxa"/>
          </w:tcPr>
          <w:p w14:paraId="3752F693"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3</w:t>
            </w:r>
          </w:p>
        </w:tc>
        <w:tc>
          <w:tcPr>
            <w:tcW w:w="3117" w:type="dxa"/>
          </w:tcPr>
          <w:p w14:paraId="04CA3368"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6</w:t>
            </w:r>
          </w:p>
        </w:tc>
      </w:tr>
      <w:tr w:rsidR="001C37E4" w:rsidRPr="001C37E4" w14:paraId="5E10BE42" w14:textId="77777777" w:rsidTr="00EC53DB">
        <w:tc>
          <w:tcPr>
            <w:tcW w:w="3116" w:type="dxa"/>
          </w:tcPr>
          <w:p w14:paraId="3F1D9FD4"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Other arrhythmia</w:t>
            </w:r>
          </w:p>
        </w:tc>
        <w:tc>
          <w:tcPr>
            <w:tcW w:w="3117" w:type="dxa"/>
          </w:tcPr>
          <w:p w14:paraId="6E8967C5"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4</w:t>
            </w:r>
          </w:p>
        </w:tc>
        <w:tc>
          <w:tcPr>
            <w:tcW w:w="3117" w:type="dxa"/>
          </w:tcPr>
          <w:p w14:paraId="285EF604"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10</w:t>
            </w:r>
          </w:p>
        </w:tc>
      </w:tr>
      <w:tr w:rsidR="001C37E4" w:rsidRPr="001C37E4" w14:paraId="738EAA33" w14:textId="77777777" w:rsidTr="00EC53DB">
        <w:tc>
          <w:tcPr>
            <w:tcW w:w="3116" w:type="dxa"/>
          </w:tcPr>
          <w:p w14:paraId="435FDCC4"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Hypertension</w:t>
            </w:r>
          </w:p>
        </w:tc>
        <w:tc>
          <w:tcPr>
            <w:tcW w:w="3117" w:type="dxa"/>
          </w:tcPr>
          <w:p w14:paraId="4FA52F88"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5</w:t>
            </w:r>
          </w:p>
        </w:tc>
        <w:tc>
          <w:tcPr>
            <w:tcW w:w="3117" w:type="dxa"/>
          </w:tcPr>
          <w:p w14:paraId="0F1D5691"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2</w:t>
            </w:r>
          </w:p>
        </w:tc>
      </w:tr>
      <w:tr w:rsidR="001C37E4" w:rsidRPr="001C37E4" w14:paraId="731CABF1" w14:textId="77777777" w:rsidTr="00EC53DB">
        <w:tc>
          <w:tcPr>
            <w:tcW w:w="3116" w:type="dxa"/>
          </w:tcPr>
          <w:p w14:paraId="43246934"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Ethnicity</w:t>
            </w:r>
          </w:p>
        </w:tc>
        <w:tc>
          <w:tcPr>
            <w:tcW w:w="3117" w:type="dxa"/>
          </w:tcPr>
          <w:p w14:paraId="66E4C156"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6</w:t>
            </w:r>
          </w:p>
        </w:tc>
        <w:tc>
          <w:tcPr>
            <w:tcW w:w="3117" w:type="dxa"/>
          </w:tcPr>
          <w:p w14:paraId="70D9EB16"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12</w:t>
            </w:r>
          </w:p>
        </w:tc>
      </w:tr>
      <w:tr w:rsidR="001C37E4" w:rsidRPr="001C37E4" w14:paraId="06B8544E" w14:textId="77777777" w:rsidTr="00EC53DB">
        <w:tc>
          <w:tcPr>
            <w:tcW w:w="3116" w:type="dxa"/>
          </w:tcPr>
          <w:p w14:paraId="2DFD2D9E"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LA diameter</w:t>
            </w:r>
          </w:p>
        </w:tc>
        <w:tc>
          <w:tcPr>
            <w:tcW w:w="3117" w:type="dxa"/>
          </w:tcPr>
          <w:p w14:paraId="64CBE3FB"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7</w:t>
            </w:r>
          </w:p>
        </w:tc>
        <w:tc>
          <w:tcPr>
            <w:tcW w:w="3117" w:type="dxa"/>
          </w:tcPr>
          <w:p w14:paraId="7CF60F5D"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9</w:t>
            </w:r>
          </w:p>
        </w:tc>
      </w:tr>
      <w:tr w:rsidR="001C37E4" w:rsidRPr="001C37E4" w14:paraId="52F85621" w14:textId="77777777" w:rsidTr="00EC53DB">
        <w:tc>
          <w:tcPr>
            <w:tcW w:w="3116" w:type="dxa"/>
          </w:tcPr>
          <w:p w14:paraId="6886EF01"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Diabetes</w:t>
            </w:r>
          </w:p>
        </w:tc>
        <w:tc>
          <w:tcPr>
            <w:tcW w:w="3117" w:type="dxa"/>
          </w:tcPr>
          <w:p w14:paraId="1B8BDBD2"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8</w:t>
            </w:r>
          </w:p>
        </w:tc>
        <w:tc>
          <w:tcPr>
            <w:tcW w:w="3117" w:type="dxa"/>
          </w:tcPr>
          <w:p w14:paraId="5F7CD4B0"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3</w:t>
            </w:r>
          </w:p>
        </w:tc>
      </w:tr>
      <w:tr w:rsidR="001C37E4" w:rsidRPr="001C37E4" w14:paraId="6C6B3A15" w14:textId="77777777" w:rsidTr="00EC53DB">
        <w:tc>
          <w:tcPr>
            <w:tcW w:w="3116" w:type="dxa"/>
          </w:tcPr>
          <w:p w14:paraId="1C0D02F0"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Sex</w:t>
            </w:r>
          </w:p>
        </w:tc>
        <w:tc>
          <w:tcPr>
            <w:tcW w:w="3117" w:type="dxa"/>
          </w:tcPr>
          <w:p w14:paraId="3A366796"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9</w:t>
            </w:r>
          </w:p>
        </w:tc>
        <w:tc>
          <w:tcPr>
            <w:tcW w:w="3117" w:type="dxa"/>
          </w:tcPr>
          <w:p w14:paraId="5430BA63"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11</w:t>
            </w:r>
          </w:p>
        </w:tc>
      </w:tr>
      <w:tr w:rsidR="001C37E4" w:rsidRPr="001C37E4" w14:paraId="7FAEACC2" w14:textId="77777777" w:rsidTr="00EC53DB">
        <w:tc>
          <w:tcPr>
            <w:tcW w:w="3116" w:type="dxa"/>
          </w:tcPr>
          <w:p w14:paraId="68A03AD4"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Heart disease</w:t>
            </w:r>
          </w:p>
        </w:tc>
        <w:tc>
          <w:tcPr>
            <w:tcW w:w="3117" w:type="dxa"/>
          </w:tcPr>
          <w:p w14:paraId="65FDB2F3"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10</w:t>
            </w:r>
          </w:p>
        </w:tc>
        <w:tc>
          <w:tcPr>
            <w:tcW w:w="3117" w:type="dxa"/>
          </w:tcPr>
          <w:p w14:paraId="50C70F9C"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13</w:t>
            </w:r>
          </w:p>
        </w:tc>
      </w:tr>
      <w:tr w:rsidR="001C37E4" w:rsidRPr="001C37E4" w14:paraId="1D5A21D5" w14:textId="77777777" w:rsidTr="00EC53DB">
        <w:tc>
          <w:tcPr>
            <w:tcW w:w="3116" w:type="dxa"/>
          </w:tcPr>
          <w:p w14:paraId="6B268D8D"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LVEF</w:t>
            </w:r>
          </w:p>
        </w:tc>
        <w:tc>
          <w:tcPr>
            <w:tcW w:w="3117" w:type="dxa"/>
          </w:tcPr>
          <w:p w14:paraId="41115CD3"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11</w:t>
            </w:r>
          </w:p>
        </w:tc>
        <w:tc>
          <w:tcPr>
            <w:tcW w:w="3117" w:type="dxa"/>
          </w:tcPr>
          <w:p w14:paraId="5222D535"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5</w:t>
            </w:r>
          </w:p>
        </w:tc>
      </w:tr>
      <w:tr w:rsidR="001C37E4" w:rsidRPr="001C37E4" w14:paraId="219CB4BE" w14:textId="77777777" w:rsidTr="00EC53DB">
        <w:tc>
          <w:tcPr>
            <w:tcW w:w="3116" w:type="dxa"/>
          </w:tcPr>
          <w:p w14:paraId="25D0981C" w14:textId="77777777" w:rsidR="001C37E4" w:rsidRPr="001C37E4" w:rsidRDefault="001C37E4" w:rsidP="001C37E4">
            <w:pPr>
              <w:spacing w:after="0" w:line="240" w:lineRule="auto"/>
              <w:rPr>
                <w:rFonts w:ascii="Arial" w:hAnsi="Arial"/>
                <w:sz w:val="18"/>
                <w:szCs w:val="18"/>
              </w:rPr>
            </w:pPr>
            <w:r w:rsidRPr="001C37E4">
              <w:rPr>
                <w:rFonts w:ascii="Arial" w:hAnsi="Arial"/>
                <w:sz w:val="18"/>
                <w:szCs w:val="18"/>
              </w:rPr>
              <w:t>Ablation procedure in last year</w:t>
            </w:r>
          </w:p>
        </w:tc>
        <w:tc>
          <w:tcPr>
            <w:tcW w:w="3117" w:type="dxa"/>
          </w:tcPr>
          <w:p w14:paraId="4E6838B2"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12</w:t>
            </w:r>
          </w:p>
        </w:tc>
        <w:tc>
          <w:tcPr>
            <w:tcW w:w="3117" w:type="dxa"/>
          </w:tcPr>
          <w:p w14:paraId="0F53EC4B"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8</w:t>
            </w:r>
          </w:p>
        </w:tc>
      </w:tr>
      <w:tr w:rsidR="001C37E4" w:rsidRPr="001C37E4" w14:paraId="2B95C54B" w14:textId="77777777" w:rsidTr="00EC53DB">
        <w:tc>
          <w:tcPr>
            <w:tcW w:w="3116" w:type="dxa"/>
          </w:tcPr>
          <w:p w14:paraId="13CE990B" w14:textId="77777777" w:rsidR="001C37E4" w:rsidRPr="001C37E4" w:rsidRDefault="001C37E4" w:rsidP="001C37E4">
            <w:pPr>
              <w:spacing w:after="0" w:line="240" w:lineRule="auto"/>
              <w:jc w:val="left"/>
              <w:rPr>
                <w:rFonts w:ascii="Arial" w:hAnsi="Arial"/>
                <w:sz w:val="18"/>
                <w:szCs w:val="18"/>
              </w:rPr>
            </w:pPr>
            <w:r w:rsidRPr="001C37E4">
              <w:rPr>
                <w:rFonts w:ascii="Arial" w:hAnsi="Arial"/>
                <w:sz w:val="18"/>
                <w:szCs w:val="18"/>
              </w:rPr>
              <w:t>Duration of AF</w:t>
            </w:r>
          </w:p>
        </w:tc>
        <w:tc>
          <w:tcPr>
            <w:tcW w:w="3117" w:type="dxa"/>
          </w:tcPr>
          <w:p w14:paraId="77D2016D"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13</w:t>
            </w:r>
          </w:p>
        </w:tc>
        <w:tc>
          <w:tcPr>
            <w:tcW w:w="3117" w:type="dxa"/>
          </w:tcPr>
          <w:p w14:paraId="4E8DA8E9" w14:textId="77777777" w:rsidR="001C37E4" w:rsidRPr="001C37E4" w:rsidRDefault="001C37E4" w:rsidP="001C37E4">
            <w:pPr>
              <w:spacing w:after="0" w:line="240" w:lineRule="auto"/>
              <w:jc w:val="center"/>
              <w:rPr>
                <w:rFonts w:ascii="Arial" w:hAnsi="Arial"/>
                <w:sz w:val="18"/>
                <w:szCs w:val="18"/>
              </w:rPr>
            </w:pPr>
            <w:r w:rsidRPr="001C37E4">
              <w:rPr>
                <w:rFonts w:ascii="Arial" w:hAnsi="Arial"/>
                <w:sz w:val="18"/>
                <w:szCs w:val="18"/>
              </w:rPr>
              <w:t>7</w:t>
            </w:r>
          </w:p>
        </w:tc>
      </w:tr>
    </w:tbl>
    <w:p w14:paraId="735F9D70" w14:textId="2611AE62" w:rsidR="000E6B97" w:rsidRDefault="001C37E4" w:rsidP="000E6B97">
      <w:pPr>
        <w:spacing w:after="480" w:line="240" w:lineRule="auto"/>
        <w:jc w:val="left"/>
        <w:rPr>
          <w:rFonts w:ascii="Arial" w:hAnsi="Arial"/>
          <w:b/>
          <w:bCs/>
          <w:sz w:val="20"/>
          <w:szCs w:val="20"/>
        </w:rPr>
      </w:pPr>
      <w:r w:rsidRPr="001C37E4">
        <w:rPr>
          <w:rFonts w:ascii="Arial" w:hAnsi="Arial"/>
          <w:sz w:val="16"/>
          <w:szCs w:val="16"/>
          <w:lang w:val="en-CA"/>
        </w:rPr>
        <w:t>Abbreviations: AF = atrial fibrillation; LA = left atrial; LVEF = left ventricular ejection fraction</w:t>
      </w:r>
      <w:r w:rsidR="000E6B97">
        <w:rPr>
          <w:rFonts w:ascii="Arial" w:hAnsi="Arial"/>
          <w:b/>
          <w:bCs/>
          <w:sz w:val="20"/>
          <w:szCs w:val="20"/>
        </w:rPr>
        <w:br w:type="page"/>
      </w:r>
    </w:p>
    <w:p w14:paraId="4885F0BB" w14:textId="2CB9EA56" w:rsidR="001C37E4" w:rsidRPr="001C37E4" w:rsidRDefault="001C37E4" w:rsidP="001C37E4">
      <w:pPr>
        <w:keepNext/>
        <w:spacing w:before="480" w:after="60"/>
        <w:jc w:val="left"/>
        <w:rPr>
          <w:rFonts w:ascii="Arial" w:hAnsi="Arial"/>
          <w:b/>
          <w:bCs/>
          <w:sz w:val="20"/>
          <w:szCs w:val="20"/>
        </w:rPr>
      </w:pPr>
      <w:r w:rsidRPr="001C37E4">
        <w:rPr>
          <w:rFonts w:ascii="Arial" w:hAnsi="Arial"/>
          <w:b/>
          <w:bCs/>
          <w:sz w:val="20"/>
          <w:szCs w:val="20"/>
        </w:rPr>
        <w:lastRenderedPageBreak/>
        <w:t>Appendix 3: Flow chart of QDOT patients who received QMODE+ and QMODE</w:t>
      </w:r>
    </w:p>
    <w:p w14:paraId="5571068E" w14:textId="26391C1B" w:rsidR="001C37E4" w:rsidRPr="001C37E4" w:rsidRDefault="00B346DD" w:rsidP="001C37E4">
      <w:pPr>
        <w:spacing w:after="0" w:line="240" w:lineRule="auto"/>
        <w:rPr>
          <w:rFonts w:ascii="Arial" w:hAnsi="Arial"/>
          <w:noProof/>
        </w:rPr>
      </w:pPr>
      <w:r>
        <w:rPr>
          <w:rFonts w:ascii="Arial" w:hAnsi="Arial"/>
          <w:noProof/>
        </w:rPr>
        <w:drawing>
          <wp:inline distT="0" distB="0" distL="0" distR="0" wp14:anchorId="77F7F998" wp14:editId="6721F185">
            <wp:extent cx="5943494" cy="2467106"/>
            <wp:effectExtent l="0" t="0" r="635"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rotWithShape="1">
                    <a:blip r:embed="rId8" cstate="print">
                      <a:extLst>
                        <a:ext uri="{28A0092B-C50C-407E-A947-70E740481C1C}">
                          <a14:useLocalDpi xmlns:a14="http://schemas.microsoft.com/office/drawing/2010/main" val="0"/>
                        </a:ext>
                      </a:extLst>
                    </a:blip>
                    <a:srcRect t="6967" b="19239"/>
                    <a:stretch/>
                  </pic:blipFill>
                  <pic:spPr bwMode="auto">
                    <a:xfrm>
                      <a:off x="0" y="0"/>
                      <a:ext cx="5943600" cy="2467150"/>
                    </a:xfrm>
                    <a:prstGeom prst="rect">
                      <a:avLst/>
                    </a:prstGeom>
                    <a:ln>
                      <a:noFill/>
                    </a:ln>
                    <a:extLst>
                      <a:ext uri="{53640926-AAD7-44D8-BBD7-CCE9431645EC}">
                        <a14:shadowObscured xmlns:a14="http://schemas.microsoft.com/office/drawing/2010/main"/>
                      </a:ext>
                    </a:extLst>
                  </pic:spPr>
                </pic:pic>
              </a:graphicData>
            </a:graphic>
          </wp:inline>
        </w:drawing>
      </w:r>
    </w:p>
    <w:p w14:paraId="6C156082" w14:textId="77777777" w:rsidR="001C37E4" w:rsidRPr="001C37E4" w:rsidRDefault="001C37E4" w:rsidP="001C37E4">
      <w:pPr>
        <w:keepNext/>
        <w:spacing w:after="0" w:line="240" w:lineRule="auto"/>
        <w:jc w:val="left"/>
        <w:rPr>
          <w:rFonts w:ascii="Arial" w:hAnsi="Arial"/>
          <w:bCs/>
          <w:sz w:val="16"/>
          <w:szCs w:val="16"/>
        </w:rPr>
      </w:pPr>
      <w:r w:rsidRPr="001C37E4">
        <w:rPr>
          <w:rFonts w:ascii="Arial" w:hAnsi="Arial"/>
          <w:bCs/>
          <w:sz w:val="16"/>
          <w:szCs w:val="16"/>
        </w:rPr>
        <w:t>Abbreviations: PV = pulmonary vein; PVI = pulmonary vein isolation</w:t>
      </w:r>
    </w:p>
    <w:p w14:paraId="083CB1AE" w14:textId="77777777" w:rsidR="001C37E4" w:rsidRPr="001C37E4" w:rsidRDefault="001C37E4" w:rsidP="001C37E4">
      <w:pPr>
        <w:keepNext/>
        <w:spacing w:before="480" w:after="60"/>
        <w:jc w:val="left"/>
        <w:rPr>
          <w:rFonts w:ascii="Arial" w:hAnsi="Arial"/>
          <w:b/>
          <w:bCs/>
          <w:szCs w:val="20"/>
        </w:rPr>
      </w:pPr>
    </w:p>
    <w:p w14:paraId="55CE2BD8" w14:textId="77777777" w:rsidR="001C37E4" w:rsidRPr="001C37E4" w:rsidRDefault="001C37E4" w:rsidP="001C37E4">
      <w:pPr>
        <w:keepNext/>
        <w:spacing w:before="480" w:after="60"/>
        <w:jc w:val="left"/>
        <w:rPr>
          <w:rFonts w:ascii="Arial" w:hAnsi="Arial"/>
          <w:b/>
          <w:bCs/>
          <w:sz w:val="20"/>
          <w:szCs w:val="20"/>
        </w:rPr>
        <w:sectPr w:rsidR="001C37E4" w:rsidRPr="001C37E4" w:rsidSect="00EF6407">
          <w:footnotePr>
            <w:numFmt w:val="lowerRoman"/>
          </w:footnotePr>
          <w:pgSz w:w="12240" w:h="15840"/>
          <w:pgMar w:top="1440" w:right="1440" w:bottom="1440" w:left="1440" w:header="576" w:footer="144" w:gutter="0"/>
          <w:cols w:space="708"/>
          <w:docGrid w:linePitch="360"/>
        </w:sectPr>
      </w:pPr>
    </w:p>
    <w:p w14:paraId="6174DCA0" w14:textId="16E035AB" w:rsidR="001C37E4" w:rsidRPr="001C37E4" w:rsidRDefault="001C37E4" w:rsidP="001C37E4">
      <w:pPr>
        <w:keepNext/>
        <w:spacing w:before="480" w:after="60"/>
        <w:jc w:val="left"/>
        <w:rPr>
          <w:rFonts w:ascii="Arial" w:hAnsi="Arial"/>
          <w:b/>
          <w:bCs/>
          <w:sz w:val="20"/>
          <w:szCs w:val="20"/>
        </w:rPr>
      </w:pPr>
      <w:r w:rsidRPr="001C37E4">
        <w:rPr>
          <w:rFonts w:ascii="Arial" w:hAnsi="Arial"/>
          <w:b/>
          <w:bCs/>
          <w:sz w:val="20"/>
          <w:szCs w:val="20"/>
        </w:rPr>
        <w:lastRenderedPageBreak/>
        <w:t>Appendix 4: Patient characteristic for procedure time</w:t>
      </w:r>
    </w:p>
    <w:tbl>
      <w:tblPr>
        <w:tblW w:w="10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4" w:type="dxa"/>
          <w:right w:w="14" w:type="dxa"/>
        </w:tblCellMar>
        <w:tblLook w:val="0420" w:firstRow="1" w:lastRow="0" w:firstColumn="0" w:lastColumn="0" w:noHBand="0" w:noVBand="1"/>
      </w:tblPr>
      <w:tblGrid>
        <w:gridCol w:w="1129"/>
        <w:gridCol w:w="846"/>
        <w:gridCol w:w="1530"/>
        <w:gridCol w:w="1530"/>
        <w:gridCol w:w="720"/>
        <w:gridCol w:w="1620"/>
        <w:gridCol w:w="720"/>
        <w:gridCol w:w="1500"/>
        <w:gridCol w:w="693"/>
      </w:tblGrid>
      <w:tr w:rsidR="001C37E4" w:rsidRPr="001C37E4" w14:paraId="11F889EF" w14:textId="77777777" w:rsidTr="001C37E4">
        <w:trPr>
          <w:trHeight w:val="341"/>
        </w:trPr>
        <w:tc>
          <w:tcPr>
            <w:tcW w:w="1975" w:type="dxa"/>
            <w:gridSpan w:val="2"/>
            <w:shd w:val="clear" w:color="auto" w:fill="D9D9D9"/>
            <w:tcMar>
              <w:top w:w="72" w:type="dxa"/>
              <w:left w:w="144" w:type="dxa"/>
              <w:bottom w:w="72" w:type="dxa"/>
              <w:right w:w="144" w:type="dxa"/>
            </w:tcMar>
            <w:vAlign w:val="center"/>
            <w:hideMark/>
          </w:tcPr>
          <w:p w14:paraId="5B40DA30" w14:textId="77777777" w:rsidR="001C37E4" w:rsidRPr="001C37E4" w:rsidRDefault="001C37E4" w:rsidP="001C37E4">
            <w:pPr>
              <w:spacing w:after="0" w:line="240" w:lineRule="auto"/>
              <w:jc w:val="left"/>
              <w:rPr>
                <w:rFonts w:ascii="Arial" w:eastAsia="Times New Roman" w:hAnsi="Arial"/>
                <w:b/>
                <w:sz w:val="16"/>
                <w:szCs w:val="16"/>
              </w:rPr>
            </w:pPr>
          </w:p>
        </w:tc>
        <w:tc>
          <w:tcPr>
            <w:tcW w:w="1530" w:type="dxa"/>
            <w:shd w:val="clear" w:color="auto" w:fill="D9D9D9"/>
            <w:tcMar>
              <w:top w:w="72" w:type="dxa"/>
              <w:left w:w="144" w:type="dxa"/>
              <w:bottom w:w="72" w:type="dxa"/>
              <w:right w:w="144" w:type="dxa"/>
            </w:tcMar>
            <w:vAlign w:val="center"/>
            <w:hideMark/>
          </w:tcPr>
          <w:p w14:paraId="61FF4B23"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Q-FFICIENCY</w:t>
            </w:r>
          </w:p>
        </w:tc>
        <w:tc>
          <w:tcPr>
            <w:tcW w:w="2250" w:type="dxa"/>
            <w:gridSpan w:val="2"/>
            <w:shd w:val="clear" w:color="auto" w:fill="D9D9D9"/>
            <w:tcMar>
              <w:top w:w="72" w:type="dxa"/>
              <w:left w:w="144" w:type="dxa"/>
              <w:bottom w:w="72" w:type="dxa"/>
              <w:right w:w="144" w:type="dxa"/>
            </w:tcMar>
            <w:vAlign w:val="center"/>
            <w:hideMark/>
          </w:tcPr>
          <w:p w14:paraId="19F2668B"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SMART-AF + SMART-SF</w:t>
            </w:r>
          </w:p>
        </w:tc>
        <w:tc>
          <w:tcPr>
            <w:tcW w:w="2340" w:type="dxa"/>
            <w:gridSpan w:val="2"/>
            <w:shd w:val="clear" w:color="auto" w:fill="D9D9D9"/>
            <w:tcMar>
              <w:top w:w="72" w:type="dxa"/>
              <w:left w:w="144" w:type="dxa"/>
              <w:bottom w:w="72" w:type="dxa"/>
              <w:right w:w="144" w:type="dxa"/>
            </w:tcMar>
            <w:vAlign w:val="center"/>
            <w:hideMark/>
          </w:tcPr>
          <w:p w14:paraId="03549A66"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SMART-AF</w:t>
            </w:r>
          </w:p>
        </w:tc>
        <w:tc>
          <w:tcPr>
            <w:tcW w:w="2193" w:type="dxa"/>
            <w:gridSpan w:val="2"/>
            <w:shd w:val="clear" w:color="auto" w:fill="D9D9D9"/>
            <w:tcMar>
              <w:top w:w="72" w:type="dxa"/>
              <w:left w:w="144" w:type="dxa"/>
              <w:bottom w:w="72" w:type="dxa"/>
              <w:right w:w="144" w:type="dxa"/>
            </w:tcMar>
            <w:vAlign w:val="center"/>
            <w:hideMark/>
          </w:tcPr>
          <w:p w14:paraId="5FB3DB7F"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SMART-SF</w:t>
            </w:r>
          </w:p>
        </w:tc>
      </w:tr>
      <w:tr w:rsidR="001C37E4" w:rsidRPr="001C37E4" w14:paraId="14107CFF" w14:textId="77777777" w:rsidTr="001C37E4">
        <w:trPr>
          <w:trHeight w:val="332"/>
        </w:trPr>
        <w:tc>
          <w:tcPr>
            <w:tcW w:w="1975" w:type="dxa"/>
            <w:gridSpan w:val="2"/>
            <w:shd w:val="clear" w:color="auto" w:fill="D9D9D9"/>
            <w:tcMar>
              <w:top w:w="72" w:type="dxa"/>
              <w:left w:w="144" w:type="dxa"/>
              <w:bottom w:w="72" w:type="dxa"/>
              <w:right w:w="144" w:type="dxa"/>
            </w:tcMar>
            <w:vAlign w:val="center"/>
            <w:hideMark/>
          </w:tcPr>
          <w:p w14:paraId="06D0446F" w14:textId="77777777" w:rsidR="001C37E4" w:rsidRPr="001C37E4" w:rsidRDefault="001C37E4" w:rsidP="001C37E4">
            <w:pPr>
              <w:spacing w:after="0" w:line="240" w:lineRule="auto"/>
              <w:jc w:val="left"/>
              <w:textAlignment w:val="bottom"/>
              <w:rPr>
                <w:rFonts w:ascii="Arial" w:eastAsia="Times New Roman" w:hAnsi="Arial"/>
                <w:b/>
                <w:sz w:val="16"/>
                <w:szCs w:val="16"/>
              </w:rPr>
            </w:pPr>
            <w:r w:rsidRPr="001C37E4">
              <w:rPr>
                <w:rFonts w:ascii="Arial" w:eastAsia="Times New Roman" w:hAnsi="Arial"/>
                <w:b/>
                <w:sz w:val="16"/>
                <w:szCs w:val="16"/>
              </w:rPr>
              <w:t>Characteristic</w:t>
            </w:r>
          </w:p>
        </w:tc>
        <w:tc>
          <w:tcPr>
            <w:tcW w:w="1530" w:type="dxa"/>
            <w:shd w:val="clear" w:color="auto" w:fill="D9D9D9"/>
            <w:tcMar>
              <w:top w:w="72" w:type="dxa"/>
              <w:left w:w="144" w:type="dxa"/>
              <w:bottom w:w="72" w:type="dxa"/>
              <w:right w:w="144" w:type="dxa"/>
            </w:tcMar>
            <w:vAlign w:val="center"/>
            <w:hideMark/>
          </w:tcPr>
          <w:p w14:paraId="7EDE090C"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Per-protocol population</w:t>
            </w:r>
          </w:p>
        </w:tc>
        <w:tc>
          <w:tcPr>
            <w:tcW w:w="1530" w:type="dxa"/>
            <w:shd w:val="clear" w:color="auto" w:fill="D9D9D9"/>
            <w:tcMar>
              <w:top w:w="72" w:type="dxa"/>
              <w:left w:w="144" w:type="dxa"/>
              <w:bottom w:w="72" w:type="dxa"/>
              <w:right w:w="144" w:type="dxa"/>
            </w:tcMar>
            <w:vAlign w:val="center"/>
            <w:hideMark/>
          </w:tcPr>
          <w:p w14:paraId="270E1071"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Pooled</w:t>
            </w:r>
          </w:p>
        </w:tc>
        <w:tc>
          <w:tcPr>
            <w:tcW w:w="720" w:type="dxa"/>
            <w:shd w:val="clear" w:color="auto" w:fill="D9D9D9"/>
            <w:tcMar>
              <w:top w:w="72" w:type="dxa"/>
              <w:left w:w="144" w:type="dxa"/>
              <w:bottom w:w="72" w:type="dxa"/>
              <w:right w:w="144" w:type="dxa"/>
            </w:tcMar>
            <w:vAlign w:val="center"/>
            <w:hideMark/>
          </w:tcPr>
          <w:p w14:paraId="619974EC"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SMD</w:t>
            </w:r>
          </w:p>
        </w:tc>
        <w:tc>
          <w:tcPr>
            <w:tcW w:w="1620" w:type="dxa"/>
            <w:shd w:val="clear" w:color="auto" w:fill="D9D9D9"/>
            <w:tcMar>
              <w:top w:w="72" w:type="dxa"/>
              <w:left w:w="144" w:type="dxa"/>
              <w:bottom w:w="72" w:type="dxa"/>
              <w:right w:w="144" w:type="dxa"/>
            </w:tcMar>
            <w:vAlign w:val="center"/>
            <w:hideMark/>
          </w:tcPr>
          <w:p w14:paraId="57277293"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Primary effectiveness</w:t>
            </w:r>
          </w:p>
        </w:tc>
        <w:tc>
          <w:tcPr>
            <w:tcW w:w="720" w:type="dxa"/>
            <w:shd w:val="clear" w:color="auto" w:fill="D9D9D9"/>
            <w:tcMar>
              <w:top w:w="72" w:type="dxa"/>
              <w:left w:w="144" w:type="dxa"/>
              <w:bottom w:w="72" w:type="dxa"/>
              <w:right w:w="144" w:type="dxa"/>
            </w:tcMar>
            <w:vAlign w:val="center"/>
            <w:hideMark/>
          </w:tcPr>
          <w:p w14:paraId="1F636060"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SMD</w:t>
            </w:r>
          </w:p>
        </w:tc>
        <w:tc>
          <w:tcPr>
            <w:tcW w:w="1500" w:type="dxa"/>
            <w:shd w:val="clear" w:color="auto" w:fill="D9D9D9"/>
            <w:tcMar>
              <w:top w:w="72" w:type="dxa"/>
              <w:left w:w="144" w:type="dxa"/>
              <w:bottom w:w="72" w:type="dxa"/>
              <w:right w:w="144" w:type="dxa"/>
            </w:tcMar>
            <w:vAlign w:val="center"/>
            <w:hideMark/>
          </w:tcPr>
          <w:p w14:paraId="4274F6BA"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mITT population</w:t>
            </w:r>
          </w:p>
        </w:tc>
        <w:tc>
          <w:tcPr>
            <w:tcW w:w="693" w:type="dxa"/>
            <w:shd w:val="clear" w:color="auto" w:fill="D9D9D9"/>
            <w:tcMar>
              <w:top w:w="72" w:type="dxa"/>
              <w:left w:w="144" w:type="dxa"/>
              <w:bottom w:w="72" w:type="dxa"/>
              <w:right w:w="144" w:type="dxa"/>
            </w:tcMar>
            <w:vAlign w:val="center"/>
            <w:hideMark/>
          </w:tcPr>
          <w:p w14:paraId="1C2A0BB9"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SMD</w:t>
            </w:r>
          </w:p>
        </w:tc>
      </w:tr>
      <w:tr w:rsidR="001C37E4" w:rsidRPr="001C37E4" w14:paraId="1BC14101" w14:textId="77777777" w:rsidTr="00EC53DB">
        <w:trPr>
          <w:trHeight w:val="269"/>
        </w:trPr>
        <w:tc>
          <w:tcPr>
            <w:tcW w:w="1975" w:type="dxa"/>
            <w:gridSpan w:val="2"/>
            <w:shd w:val="clear" w:color="auto" w:fill="auto"/>
            <w:tcMar>
              <w:top w:w="15" w:type="dxa"/>
              <w:left w:w="15" w:type="dxa"/>
              <w:bottom w:w="0" w:type="dxa"/>
              <w:right w:w="15" w:type="dxa"/>
            </w:tcMar>
            <w:vAlign w:val="center"/>
            <w:hideMark/>
          </w:tcPr>
          <w:p w14:paraId="5797EC5F" w14:textId="77777777" w:rsidR="001C37E4" w:rsidRPr="001C37E4" w:rsidRDefault="001C37E4" w:rsidP="001C37E4">
            <w:pPr>
              <w:spacing w:after="0" w:line="240" w:lineRule="auto"/>
              <w:jc w:val="left"/>
              <w:textAlignment w:val="bottom"/>
              <w:rPr>
                <w:rFonts w:ascii="Arial" w:eastAsia="Times New Roman" w:hAnsi="Arial"/>
                <w:i/>
                <w:sz w:val="16"/>
                <w:szCs w:val="16"/>
              </w:rPr>
            </w:pPr>
            <w:r w:rsidRPr="001C37E4">
              <w:rPr>
                <w:rFonts w:ascii="Arial" w:eastAsia="Times New Roman" w:hAnsi="Arial"/>
                <w:i/>
                <w:color w:val="000000"/>
                <w:sz w:val="16"/>
                <w:szCs w:val="16"/>
              </w:rPr>
              <w:t>N</w:t>
            </w:r>
          </w:p>
        </w:tc>
        <w:tc>
          <w:tcPr>
            <w:tcW w:w="1530" w:type="dxa"/>
            <w:shd w:val="clear" w:color="auto" w:fill="auto"/>
            <w:tcMar>
              <w:top w:w="15" w:type="dxa"/>
              <w:left w:w="15" w:type="dxa"/>
              <w:bottom w:w="0" w:type="dxa"/>
              <w:right w:w="15" w:type="dxa"/>
            </w:tcMar>
            <w:vAlign w:val="center"/>
            <w:hideMark/>
          </w:tcPr>
          <w:p w14:paraId="7A53D904" w14:textId="77777777" w:rsidR="001C37E4" w:rsidRPr="001C37E4" w:rsidRDefault="001C37E4" w:rsidP="001C37E4">
            <w:pPr>
              <w:spacing w:after="0" w:line="240" w:lineRule="auto"/>
              <w:jc w:val="center"/>
              <w:textAlignment w:val="bottom"/>
              <w:rPr>
                <w:rFonts w:ascii="Arial" w:eastAsia="Times New Roman" w:hAnsi="Arial"/>
                <w:i/>
                <w:sz w:val="16"/>
                <w:szCs w:val="16"/>
              </w:rPr>
            </w:pPr>
            <w:r w:rsidRPr="001C37E4">
              <w:rPr>
                <w:rFonts w:ascii="Arial" w:eastAsia="Times New Roman" w:hAnsi="Arial"/>
                <w:i/>
                <w:color w:val="000000"/>
                <w:sz w:val="16"/>
                <w:szCs w:val="16"/>
              </w:rPr>
              <w:t>166</w:t>
            </w:r>
          </w:p>
        </w:tc>
        <w:tc>
          <w:tcPr>
            <w:tcW w:w="1530" w:type="dxa"/>
            <w:shd w:val="clear" w:color="auto" w:fill="auto"/>
            <w:tcMar>
              <w:top w:w="15" w:type="dxa"/>
              <w:left w:w="15" w:type="dxa"/>
              <w:bottom w:w="0" w:type="dxa"/>
              <w:right w:w="15" w:type="dxa"/>
            </w:tcMar>
            <w:vAlign w:val="center"/>
            <w:hideMark/>
          </w:tcPr>
          <w:p w14:paraId="7DB96CDB" w14:textId="77777777" w:rsidR="001C37E4" w:rsidRPr="001C37E4" w:rsidRDefault="001C37E4" w:rsidP="001C37E4">
            <w:pPr>
              <w:spacing w:after="0" w:line="240" w:lineRule="auto"/>
              <w:jc w:val="center"/>
              <w:textAlignment w:val="bottom"/>
              <w:rPr>
                <w:rFonts w:ascii="Arial" w:eastAsia="Times New Roman" w:hAnsi="Arial"/>
                <w:i/>
                <w:sz w:val="16"/>
                <w:szCs w:val="16"/>
              </w:rPr>
            </w:pPr>
            <w:r w:rsidRPr="001C37E4">
              <w:rPr>
                <w:rFonts w:ascii="Arial" w:eastAsia="Times New Roman" w:hAnsi="Arial"/>
                <w:i/>
                <w:color w:val="000000"/>
                <w:sz w:val="16"/>
                <w:szCs w:val="16"/>
              </w:rPr>
              <w:t>269</w:t>
            </w:r>
          </w:p>
        </w:tc>
        <w:tc>
          <w:tcPr>
            <w:tcW w:w="720" w:type="dxa"/>
            <w:shd w:val="clear" w:color="auto" w:fill="auto"/>
            <w:tcMar>
              <w:top w:w="15" w:type="dxa"/>
              <w:left w:w="15" w:type="dxa"/>
              <w:bottom w:w="0" w:type="dxa"/>
              <w:right w:w="15" w:type="dxa"/>
            </w:tcMar>
            <w:vAlign w:val="center"/>
            <w:hideMark/>
          </w:tcPr>
          <w:p w14:paraId="4D91F7E2" w14:textId="77777777" w:rsidR="001C37E4" w:rsidRPr="001C37E4" w:rsidRDefault="001C37E4" w:rsidP="001C37E4">
            <w:pPr>
              <w:spacing w:after="0" w:line="240" w:lineRule="auto"/>
              <w:jc w:val="left"/>
              <w:rPr>
                <w:rFonts w:ascii="Arial" w:eastAsia="Times New Roman" w:hAnsi="Arial"/>
                <w:b/>
                <w:i/>
                <w:sz w:val="16"/>
                <w:szCs w:val="16"/>
              </w:rPr>
            </w:pPr>
          </w:p>
        </w:tc>
        <w:tc>
          <w:tcPr>
            <w:tcW w:w="1620" w:type="dxa"/>
            <w:shd w:val="clear" w:color="auto" w:fill="auto"/>
            <w:tcMar>
              <w:top w:w="15" w:type="dxa"/>
              <w:left w:w="15" w:type="dxa"/>
              <w:bottom w:w="0" w:type="dxa"/>
              <w:right w:w="15" w:type="dxa"/>
            </w:tcMar>
            <w:vAlign w:val="center"/>
            <w:hideMark/>
          </w:tcPr>
          <w:p w14:paraId="73DF6959" w14:textId="77777777" w:rsidR="001C37E4" w:rsidRPr="001C37E4" w:rsidRDefault="001C37E4" w:rsidP="001C37E4">
            <w:pPr>
              <w:spacing w:after="0" w:line="240" w:lineRule="auto"/>
              <w:jc w:val="center"/>
              <w:textAlignment w:val="bottom"/>
              <w:rPr>
                <w:rFonts w:ascii="Arial" w:eastAsia="Times New Roman" w:hAnsi="Arial"/>
                <w:i/>
                <w:sz w:val="16"/>
                <w:szCs w:val="16"/>
              </w:rPr>
            </w:pPr>
            <w:r w:rsidRPr="001C37E4">
              <w:rPr>
                <w:rFonts w:ascii="Arial" w:eastAsia="Times New Roman" w:hAnsi="Arial"/>
                <w:i/>
                <w:color w:val="000000"/>
                <w:sz w:val="16"/>
                <w:szCs w:val="16"/>
              </w:rPr>
              <w:t>114</w:t>
            </w:r>
          </w:p>
        </w:tc>
        <w:tc>
          <w:tcPr>
            <w:tcW w:w="720" w:type="dxa"/>
            <w:shd w:val="clear" w:color="auto" w:fill="auto"/>
            <w:tcMar>
              <w:top w:w="15" w:type="dxa"/>
              <w:left w:w="15" w:type="dxa"/>
              <w:bottom w:w="0" w:type="dxa"/>
              <w:right w:w="15" w:type="dxa"/>
            </w:tcMar>
            <w:vAlign w:val="center"/>
            <w:hideMark/>
          </w:tcPr>
          <w:p w14:paraId="5CD969C6" w14:textId="77777777" w:rsidR="001C37E4" w:rsidRPr="001C37E4" w:rsidRDefault="001C37E4" w:rsidP="001C37E4">
            <w:pPr>
              <w:spacing w:after="0" w:line="240" w:lineRule="auto"/>
              <w:jc w:val="left"/>
              <w:rPr>
                <w:rFonts w:ascii="Arial" w:eastAsia="Times New Roman" w:hAnsi="Arial"/>
                <w:b/>
                <w:i/>
                <w:color w:val="000000"/>
                <w:sz w:val="16"/>
                <w:szCs w:val="16"/>
              </w:rPr>
            </w:pPr>
          </w:p>
        </w:tc>
        <w:tc>
          <w:tcPr>
            <w:tcW w:w="1500" w:type="dxa"/>
            <w:shd w:val="clear" w:color="auto" w:fill="auto"/>
            <w:tcMar>
              <w:top w:w="15" w:type="dxa"/>
              <w:left w:w="15" w:type="dxa"/>
              <w:bottom w:w="0" w:type="dxa"/>
              <w:right w:w="15" w:type="dxa"/>
            </w:tcMar>
            <w:vAlign w:val="center"/>
            <w:hideMark/>
          </w:tcPr>
          <w:p w14:paraId="1BBBC73E" w14:textId="77777777" w:rsidR="001C37E4" w:rsidRPr="001C37E4" w:rsidRDefault="001C37E4" w:rsidP="001C37E4">
            <w:pPr>
              <w:spacing w:after="0" w:line="240" w:lineRule="auto"/>
              <w:jc w:val="center"/>
              <w:textAlignment w:val="bottom"/>
              <w:rPr>
                <w:rFonts w:ascii="Arial" w:eastAsia="Times New Roman" w:hAnsi="Arial"/>
                <w:i/>
                <w:color w:val="000000"/>
                <w:sz w:val="16"/>
                <w:szCs w:val="16"/>
              </w:rPr>
            </w:pPr>
            <w:r w:rsidRPr="001C37E4">
              <w:rPr>
                <w:rFonts w:ascii="Arial" w:eastAsia="Times New Roman" w:hAnsi="Arial"/>
                <w:i/>
                <w:color w:val="000000"/>
                <w:sz w:val="16"/>
                <w:szCs w:val="16"/>
              </w:rPr>
              <w:t>155</w:t>
            </w:r>
          </w:p>
        </w:tc>
        <w:tc>
          <w:tcPr>
            <w:tcW w:w="693" w:type="dxa"/>
            <w:shd w:val="clear" w:color="auto" w:fill="auto"/>
            <w:tcMar>
              <w:top w:w="15" w:type="dxa"/>
              <w:left w:w="15" w:type="dxa"/>
              <w:bottom w:w="0" w:type="dxa"/>
              <w:right w:w="15" w:type="dxa"/>
            </w:tcMar>
            <w:vAlign w:val="center"/>
            <w:hideMark/>
          </w:tcPr>
          <w:p w14:paraId="0DD76819" w14:textId="77777777" w:rsidR="001C37E4" w:rsidRPr="001C37E4" w:rsidRDefault="001C37E4" w:rsidP="001C37E4">
            <w:pPr>
              <w:spacing w:after="0" w:line="240" w:lineRule="auto"/>
              <w:jc w:val="left"/>
              <w:rPr>
                <w:rFonts w:ascii="Arial" w:eastAsia="Times New Roman" w:hAnsi="Arial"/>
                <w:i/>
                <w:color w:val="000000"/>
                <w:sz w:val="16"/>
                <w:szCs w:val="16"/>
              </w:rPr>
            </w:pPr>
          </w:p>
        </w:tc>
      </w:tr>
      <w:tr w:rsidR="001C37E4" w:rsidRPr="001C37E4" w14:paraId="48788563" w14:textId="77777777" w:rsidTr="00EC53DB">
        <w:trPr>
          <w:trHeight w:val="269"/>
        </w:trPr>
        <w:tc>
          <w:tcPr>
            <w:tcW w:w="1975" w:type="dxa"/>
            <w:gridSpan w:val="2"/>
            <w:shd w:val="clear" w:color="auto" w:fill="auto"/>
            <w:tcMar>
              <w:top w:w="15" w:type="dxa"/>
              <w:left w:w="15" w:type="dxa"/>
              <w:bottom w:w="0" w:type="dxa"/>
              <w:right w:w="15" w:type="dxa"/>
            </w:tcMar>
            <w:vAlign w:val="center"/>
            <w:hideMark/>
          </w:tcPr>
          <w:p w14:paraId="5FE7867F"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Sex (female), n (%)</w:t>
            </w:r>
          </w:p>
        </w:tc>
        <w:tc>
          <w:tcPr>
            <w:tcW w:w="1530" w:type="dxa"/>
            <w:shd w:val="clear" w:color="auto" w:fill="auto"/>
            <w:tcMar>
              <w:top w:w="15" w:type="dxa"/>
              <w:left w:w="15" w:type="dxa"/>
              <w:bottom w:w="0" w:type="dxa"/>
              <w:right w:w="15" w:type="dxa"/>
            </w:tcMar>
            <w:vAlign w:val="center"/>
            <w:hideMark/>
          </w:tcPr>
          <w:p w14:paraId="501FACB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65 (39.2)</w:t>
            </w:r>
          </w:p>
        </w:tc>
        <w:tc>
          <w:tcPr>
            <w:tcW w:w="1530" w:type="dxa"/>
            <w:shd w:val="clear" w:color="auto" w:fill="auto"/>
            <w:tcMar>
              <w:top w:w="15" w:type="dxa"/>
              <w:left w:w="15" w:type="dxa"/>
              <w:bottom w:w="0" w:type="dxa"/>
              <w:right w:w="15" w:type="dxa"/>
            </w:tcMar>
            <w:vAlign w:val="center"/>
            <w:hideMark/>
          </w:tcPr>
          <w:p w14:paraId="6A3309D4"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1F2222"/>
                <w:sz w:val="16"/>
                <w:szCs w:val="16"/>
              </w:rPr>
              <w:t>93 (34.6)</w:t>
            </w:r>
          </w:p>
        </w:tc>
        <w:tc>
          <w:tcPr>
            <w:tcW w:w="720" w:type="dxa"/>
            <w:shd w:val="clear" w:color="auto" w:fill="auto"/>
            <w:tcMar>
              <w:top w:w="15" w:type="dxa"/>
              <w:left w:w="15" w:type="dxa"/>
              <w:bottom w:w="0" w:type="dxa"/>
              <w:right w:w="15" w:type="dxa"/>
            </w:tcMar>
            <w:vAlign w:val="center"/>
            <w:hideMark/>
          </w:tcPr>
          <w:p w14:paraId="430D002D"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0.095</w:t>
            </w:r>
          </w:p>
        </w:tc>
        <w:tc>
          <w:tcPr>
            <w:tcW w:w="1620" w:type="dxa"/>
            <w:shd w:val="clear" w:color="auto" w:fill="auto"/>
            <w:tcMar>
              <w:top w:w="15" w:type="dxa"/>
              <w:left w:w="15" w:type="dxa"/>
              <w:bottom w:w="0" w:type="dxa"/>
              <w:right w:w="15" w:type="dxa"/>
            </w:tcMar>
            <w:vAlign w:val="center"/>
            <w:hideMark/>
          </w:tcPr>
          <w:p w14:paraId="64CCA958"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31 (27.2)</w:t>
            </w:r>
          </w:p>
        </w:tc>
        <w:tc>
          <w:tcPr>
            <w:tcW w:w="720" w:type="dxa"/>
            <w:shd w:val="clear" w:color="auto" w:fill="auto"/>
            <w:tcMar>
              <w:top w:w="15" w:type="dxa"/>
              <w:left w:w="15" w:type="dxa"/>
              <w:bottom w:w="0" w:type="dxa"/>
              <w:right w:w="15" w:type="dxa"/>
            </w:tcMar>
            <w:vAlign w:val="center"/>
            <w:hideMark/>
          </w:tcPr>
          <w:p w14:paraId="1A897D7F"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FF0000"/>
                <w:sz w:val="16"/>
                <w:szCs w:val="16"/>
              </w:rPr>
              <w:t>0.256</w:t>
            </w:r>
          </w:p>
        </w:tc>
        <w:tc>
          <w:tcPr>
            <w:tcW w:w="1500" w:type="dxa"/>
            <w:shd w:val="clear" w:color="auto" w:fill="auto"/>
            <w:tcMar>
              <w:top w:w="15" w:type="dxa"/>
              <w:left w:w="15" w:type="dxa"/>
              <w:bottom w:w="0" w:type="dxa"/>
              <w:right w:w="15" w:type="dxa"/>
            </w:tcMar>
            <w:vAlign w:val="center"/>
            <w:hideMark/>
          </w:tcPr>
          <w:p w14:paraId="27A03386"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62 (40.0)</w:t>
            </w:r>
          </w:p>
        </w:tc>
        <w:tc>
          <w:tcPr>
            <w:tcW w:w="693" w:type="dxa"/>
            <w:shd w:val="clear" w:color="auto" w:fill="auto"/>
            <w:tcMar>
              <w:top w:w="15" w:type="dxa"/>
              <w:left w:w="15" w:type="dxa"/>
              <w:bottom w:w="0" w:type="dxa"/>
              <w:right w:w="15" w:type="dxa"/>
            </w:tcMar>
            <w:vAlign w:val="center"/>
            <w:hideMark/>
          </w:tcPr>
          <w:p w14:paraId="47E572F9"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00B050"/>
                <w:sz w:val="16"/>
                <w:szCs w:val="16"/>
              </w:rPr>
              <w:t>0.017</w:t>
            </w:r>
          </w:p>
        </w:tc>
      </w:tr>
      <w:tr w:rsidR="001C37E4" w:rsidRPr="001C37E4" w14:paraId="50C03B75" w14:textId="77777777" w:rsidTr="00EC53DB">
        <w:trPr>
          <w:trHeight w:val="269"/>
        </w:trPr>
        <w:tc>
          <w:tcPr>
            <w:tcW w:w="1975" w:type="dxa"/>
            <w:gridSpan w:val="2"/>
            <w:shd w:val="clear" w:color="auto" w:fill="auto"/>
            <w:tcMar>
              <w:top w:w="15" w:type="dxa"/>
              <w:left w:w="15" w:type="dxa"/>
              <w:bottom w:w="0" w:type="dxa"/>
              <w:right w:w="15" w:type="dxa"/>
            </w:tcMar>
            <w:vAlign w:val="center"/>
            <w:hideMark/>
          </w:tcPr>
          <w:p w14:paraId="52A1F304"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Race (non-white), n (%)</w:t>
            </w:r>
          </w:p>
        </w:tc>
        <w:tc>
          <w:tcPr>
            <w:tcW w:w="1530" w:type="dxa"/>
            <w:shd w:val="clear" w:color="auto" w:fill="auto"/>
            <w:tcMar>
              <w:top w:w="15" w:type="dxa"/>
              <w:left w:w="15" w:type="dxa"/>
              <w:bottom w:w="0" w:type="dxa"/>
              <w:right w:w="15" w:type="dxa"/>
            </w:tcMar>
            <w:vAlign w:val="center"/>
            <w:hideMark/>
          </w:tcPr>
          <w:p w14:paraId="29F4C84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18 (10.8)</w:t>
            </w:r>
          </w:p>
        </w:tc>
        <w:tc>
          <w:tcPr>
            <w:tcW w:w="1530" w:type="dxa"/>
            <w:shd w:val="clear" w:color="auto" w:fill="auto"/>
            <w:tcMar>
              <w:top w:w="15" w:type="dxa"/>
              <w:left w:w="15" w:type="dxa"/>
              <w:bottom w:w="0" w:type="dxa"/>
              <w:right w:w="15" w:type="dxa"/>
            </w:tcMar>
            <w:vAlign w:val="center"/>
            <w:hideMark/>
          </w:tcPr>
          <w:p w14:paraId="2EB528BC"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10 (3.7)</w:t>
            </w:r>
          </w:p>
        </w:tc>
        <w:tc>
          <w:tcPr>
            <w:tcW w:w="720" w:type="dxa"/>
            <w:shd w:val="clear" w:color="auto" w:fill="auto"/>
            <w:tcMar>
              <w:top w:w="15" w:type="dxa"/>
              <w:left w:w="15" w:type="dxa"/>
              <w:bottom w:w="0" w:type="dxa"/>
              <w:right w:w="15" w:type="dxa"/>
            </w:tcMar>
            <w:vAlign w:val="center"/>
            <w:hideMark/>
          </w:tcPr>
          <w:p w14:paraId="76E88A50"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0.277</w:t>
            </w:r>
          </w:p>
        </w:tc>
        <w:tc>
          <w:tcPr>
            <w:tcW w:w="1620" w:type="dxa"/>
            <w:shd w:val="clear" w:color="auto" w:fill="auto"/>
            <w:tcMar>
              <w:top w:w="15" w:type="dxa"/>
              <w:left w:w="15" w:type="dxa"/>
              <w:bottom w:w="0" w:type="dxa"/>
              <w:right w:w="15" w:type="dxa"/>
            </w:tcMar>
            <w:vAlign w:val="center"/>
            <w:hideMark/>
          </w:tcPr>
          <w:p w14:paraId="520F0CFB"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 (5.3)</w:t>
            </w:r>
          </w:p>
        </w:tc>
        <w:tc>
          <w:tcPr>
            <w:tcW w:w="720" w:type="dxa"/>
            <w:shd w:val="clear" w:color="auto" w:fill="auto"/>
            <w:tcMar>
              <w:top w:w="15" w:type="dxa"/>
              <w:left w:w="15" w:type="dxa"/>
              <w:bottom w:w="0" w:type="dxa"/>
              <w:right w:w="15" w:type="dxa"/>
            </w:tcMar>
            <w:vAlign w:val="center"/>
            <w:hideMark/>
          </w:tcPr>
          <w:p w14:paraId="2671E502"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0.206</w:t>
            </w:r>
          </w:p>
        </w:tc>
        <w:tc>
          <w:tcPr>
            <w:tcW w:w="1500" w:type="dxa"/>
            <w:shd w:val="clear" w:color="auto" w:fill="auto"/>
            <w:tcMar>
              <w:top w:w="15" w:type="dxa"/>
              <w:left w:w="15" w:type="dxa"/>
              <w:bottom w:w="0" w:type="dxa"/>
              <w:right w:w="15" w:type="dxa"/>
            </w:tcMar>
            <w:vAlign w:val="center"/>
            <w:hideMark/>
          </w:tcPr>
          <w:p w14:paraId="7A6B3FCF"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4 (2.6)</w:t>
            </w:r>
          </w:p>
        </w:tc>
        <w:tc>
          <w:tcPr>
            <w:tcW w:w="693" w:type="dxa"/>
            <w:shd w:val="clear" w:color="auto" w:fill="auto"/>
            <w:tcMar>
              <w:top w:w="15" w:type="dxa"/>
              <w:left w:w="15" w:type="dxa"/>
              <w:bottom w:w="0" w:type="dxa"/>
              <w:right w:w="15" w:type="dxa"/>
            </w:tcMar>
            <w:vAlign w:val="center"/>
            <w:hideMark/>
          </w:tcPr>
          <w:p w14:paraId="7F7BF057"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0.335</w:t>
            </w:r>
          </w:p>
        </w:tc>
      </w:tr>
      <w:tr w:rsidR="001C37E4" w:rsidRPr="001C37E4" w14:paraId="1823EB71" w14:textId="77777777" w:rsidTr="00EC53DB">
        <w:trPr>
          <w:trHeight w:val="269"/>
        </w:trPr>
        <w:tc>
          <w:tcPr>
            <w:tcW w:w="1975" w:type="dxa"/>
            <w:gridSpan w:val="2"/>
            <w:shd w:val="clear" w:color="auto" w:fill="auto"/>
            <w:tcMar>
              <w:top w:w="15" w:type="dxa"/>
              <w:left w:w="15" w:type="dxa"/>
              <w:bottom w:w="0" w:type="dxa"/>
              <w:right w:w="15" w:type="dxa"/>
            </w:tcMar>
            <w:vAlign w:val="center"/>
            <w:hideMark/>
          </w:tcPr>
          <w:p w14:paraId="79B5C919"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Ethnicity (Hispanic/Latino), n (%)</w:t>
            </w:r>
          </w:p>
        </w:tc>
        <w:tc>
          <w:tcPr>
            <w:tcW w:w="1530" w:type="dxa"/>
            <w:shd w:val="clear" w:color="auto" w:fill="auto"/>
            <w:tcMar>
              <w:top w:w="15" w:type="dxa"/>
              <w:left w:w="15" w:type="dxa"/>
              <w:bottom w:w="0" w:type="dxa"/>
              <w:right w:w="15" w:type="dxa"/>
            </w:tcMar>
            <w:vAlign w:val="center"/>
            <w:hideMark/>
          </w:tcPr>
          <w:p w14:paraId="4DF0BCD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 (3.6)</w:t>
            </w:r>
          </w:p>
        </w:tc>
        <w:tc>
          <w:tcPr>
            <w:tcW w:w="1530" w:type="dxa"/>
            <w:shd w:val="clear" w:color="auto" w:fill="auto"/>
            <w:tcMar>
              <w:top w:w="15" w:type="dxa"/>
              <w:left w:w="15" w:type="dxa"/>
              <w:bottom w:w="0" w:type="dxa"/>
              <w:right w:w="15" w:type="dxa"/>
            </w:tcMar>
            <w:vAlign w:val="center"/>
            <w:hideMark/>
          </w:tcPr>
          <w:p w14:paraId="278A62F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4 (1.5)</w:t>
            </w:r>
          </w:p>
        </w:tc>
        <w:tc>
          <w:tcPr>
            <w:tcW w:w="720" w:type="dxa"/>
            <w:shd w:val="clear" w:color="auto" w:fill="auto"/>
            <w:tcMar>
              <w:top w:w="15" w:type="dxa"/>
              <w:left w:w="15" w:type="dxa"/>
              <w:bottom w:w="0" w:type="dxa"/>
              <w:right w:w="15" w:type="dxa"/>
            </w:tcMar>
            <w:vAlign w:val="center"/>
            <w:hideMark/>
          </w:tcPr>
          <w:p w14:paraId="03049C05"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0.135</w:t>
            </w:r>
          </w:p>
        </w:tc>
        <w:tc>
          <w:tcPr>
            <w:tcW w:w="1620" w:type="dxa"/>
            <w:shd w:val="clear" w:color="auto" w:fill="auto"/>
            <w:tcMar>
              <w:top w:w="15" w:type="dxa"/>
              <w:left w:w="15" w:type="dxa"/>
              <w:bottom w:w="0" w:type="dxa"/>
              <w:right w:w="15" w:type="dxa"/>
            </w:tcMar>
            <w:vAlign w:val="center"/>
            <w:hideMark/>
          </w:tcPr>
          <w:p w14:paraId="62E214F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 (2.6)</w:t>
            </w:r>
          </w:p>
        </w:tc>
        <w:tc>
          <w:tcPr>
            <w:tcW w:w="720" w:type="dxa"/>
            <w:shd w:val="clear" w:color="auto" w:fill="auto"/>
            <w:tcMar>
              <w:top w:w="15" w:type="dxa"/>
              <w:left w:w="15" w:type="dxa"/>
              <w:bottom w:w="0" w:type="dxa"/>
              <w:right w:w="15" w:type="dxa"/>
            </w:tcMar>
            <w:vAlign w:val="center"/>
            <w:hideMark/>
          </w:tcPr>
          <w:p w14:paraId="164AA3C5"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00B050"/>
                <w:sz w:val="16"/>
                <w:szCs w:val="16"/>
              </w:rPr>
              <w:t>0.057</w:t>
            </w:r>
          </w:p>
        </w:tc>
        <w:tc>
          <w:tcPr>
            <w:tcW w:w="1500" w:type="dxa"/>
            <w:shd w:val="clear" w:color="auto" w:fill="auto"/>
            <w:tcMar>
              <w:top w:w="15" w:type="dxa"/>
              <w:left w:w="15" w:type="dxa"/>
              <w:bottom w:w="0" w:type="dxa"/>
              <w:right w:w="15" w:type="dxa"/>
            </w:tcMar>
            <w:vAlign w:val="center"/>
            <w:hideMark/>
          </w:tcPr>
          <w:p w14:paraId="48797FDA"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 (0.6)</w:t>
            </w:r>
          </w:p>
        </w:tc>
        <w:tc>
          <w:tcPr>
            <w:tcW w:w="693" w:type="dxa"/>
            <w:shd w:val="clear" w:color="auto" w:fill="auto"/>
            <w:tcMar>
              <w:top w:w="15" w:type="dxa"/>
              <w:left w:w="15" w:type="dxa"/>
              <w:bottom w:w="0" w:type="dxa"/>
              <w:right w:w="15" w:type="dxa"/>
            </w:tcMar>
            <w:vAlign w:val="center"/>
            <w:hideMark/>
          </w:tcPr>
          <w:p w14:paraId="782AAC61"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FF0000"/>
                <w:sz w:val="16"/>
                <w:szCs w:val="16"/>
              </w:rPr>
              <w:t>0.207</w:t>
            </w:r>
          </w:p>
        </w:tc>
      </w:tr>
      <w:tr w:rsidR="001C37E4" w:rsidRPr="001C37E4" w14:paraId="1629BFAB" w14:textId="77777777" w:rsidTr="00EC53DB">
        <w:trPr>
          <w:trHeight w:val="269"/>
        </w:trPr>
        <w:tc>
          <w:tcPr>
            <w:tcW w:w="1975" w:type="dxa"/>
            <w:gridSpan w:val="2"/>
            <w:shd w:val="clear" w:color="auto" w:fill="auto"/>
            <w:tcMar>
              <w:top w:w="15" w:type="dxa"/>
              <w:left w:w="15" w:type="dxa"/>
              <w:bottom w:w="0" w:type="dxa"/>
              <w:right w:w="15" w:type="dxa"/>
            </w:tcMar>
            <w:vAlign w:val="center"/>
            <w:hideMark/>
          </w:tcPr>
          <w:p w14:paraId="350C1E9A"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Diabetes, n (%)</w:t>
            </w:r>
          </w:p>
        </w:tc>
        <w:tc>
          <w:tcPr>
            <w:tcW w:w="1530" w:type="dxa"/>
            <w:shd w:val="clear" w:color="auto" w:fill="auto"/>
            <w:tcMar>
              <w:top w:w="15" w:type="dxa"/>
              <w:left w:w="15" w:type="dxa"/>
              <w:bottom w:w="0" w:type="dxa"/>
              <w:right w:w="15" w:type="dxa"/>
            </w:tcMar>
            <w:vAlign w:val="center"/>
            <w:hideMark/>
          </w:tcPr>
          <w:p w14:paraId="2CFEB78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33 (19.9)</w:t>
            </w:r>
          </w:p>
        </w:tc>
        <w:tc>
          <w:tcPr>
            <w:tcW w:w="1530" w:type="dxa"/>
            <w:shd w:val="clear" w:color="auto" w:fill="auto"/>
            <w:tcMar>
              <w:top w:w="15" w:type="dxa"/>
              <w:left w:w="15" w:type="dxa"/>
              <w:bottom w:w="0" w:type="dxa"/>
              <w:right w:w="15" w:type="dxa"/>
            </w:tcMar>
            <w:vAlign w:val="center"/>
            <w:hideMark/>
          </w:tcPr>
          <w:p w14:paraId="42D3E87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35 (13.0)</w:t>
            </w:r>
          </w:p>
        </w:tc>
        <w:tc>
          <w:tcPr>
            <w:tcW w:w="720" w:type="dxa"/>
            <w:shd w:val="clear" w:color="auto" w:fill="auto"/>
            <w:tcMar>
              <w:top w:w="15" w:type="dxa"/>
              <w:left w:w="15" w:type="dxa"/>
              <w:bottom w:w="0" w:type="dxa"/>
              <w:right w:w="15" w:type="dxa"/>
            </w:tcMar>
            <w:vAlign w:val="center"/>
            <w:hideMark/>
          </w:tcPr>
          <w:p w14:paraId="568949E9"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0.186</w:t>
            </w:r>
          </w:p>
        </w:tc>
        <w:tc>
          <w:tcPr>
            <w:tcW w:w="1620" w:type="dxa"/>
            <w:shd w:val="clear" w:color="auto" w:fill="auto"/>
            <w:tcMar>
              <w:top w:w="15" w:type="dxa"/>
              <w:left w:w="15" w:type="dxa"/>
              <w:bottom w:w="0" w:type="dxa"/>
              <w:right w:w="15" w:type="dxa"/>
            </w:tcMar>
            <w:vAlign w:val="center"/>
            <w:hideMark/>
          </w:tcPr>
          <w:p w14:paraId="6BE54A15"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13 (11.4)</w:t>
            </w:r>
          </w:p>
        </w:tc>
        <w:tc>
          <w:tcPr>
            <w:tcW w:w="720" w:type="dxa"/>
            <w:shd w:val="clear" w:color="auto" w:fill="auto"/>
            <w:tcMar>
              <w:top w:w="15" w:type="dxa"/>
              <w:left w:w="15" w:type="dxa"/>
              <w:bottom w:w="0" w:type="dxa"/>
              <w:right w:w="15" w:type="dxa"/>
            </w:tcMar>
            <w:vAlign w:val="center"/>
            <w:hideMark/>
          </w:tcPr>
          <w:p w14:paraId="5657EAAF"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0.235</w:t>
            </w:r>
          </w:p>
        </w:tc>
        <w:tc>
          <w:tcPr>
            <w:tcW w:w="1500" w:type="dxa"/>
            <w:shd w:val="clear" w:color="auto" w:fill="auto"/>
            <w:tcMar>
              <w:top w:w="15" w:type="dxa"/>
              <w:left w:w="15" w:type="dxa"/>
              <w:bottom w:w="0" w:type="dxa"/>
              <w:right w:w="15" w:type="dxa"/>
            </w:tcMar>
            <w:vAlign w:val="center"/>
            <w:hideMark/>
          </w:tcPr>
          <w:p w14:paraId="05D31A83"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22 (14.2)</w:t>
            </w:r>
          </w:p>
        </w:tc>
        <w:tc>
          <w:tcPr>
            <w:tcW w:w="693" w:type="dxa"/>
            <w:shd w:val="clear" w:color="auto" w:fill="auto"/>
            <w:tcMar>
              <w:top w:w="15" w:type="dxa"/>
              <w:left w:w="15" w:type="dxa"/>
              <w:bottom w:w="0" w:type="dxa"/>
              <w:right w:w="15" w:type="dxa"/>
            </w:tcMar>
            <w:vAlign w:val="center"/>
            <w:hideMark/>
          </w:tcPr>
          <w:p w14:paraId="0EACCC64"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0.152</w:t>
            </w:r>
          </w:p>
        </w:tc>
      </w:tr>
      <w:tr w:rsidR="001C37E4" w:rsidRPr="001C37E4" w14:paraId="216F7A7D" w14:textId="77777777" w:rsidTr="00EC53DB">
        <w:trPr>
          <w:trHeight w:val="269"/>
        </w:trPr>
        <w:tc>
          <w:tcPr>
            <w:tcW w:w="1975" w:type="dxa"/>
            <w:gridSpan w:val="2"/>
            <w:shd w:val="clear" w:color="auto" w:fill="auto"/>
            <w:tcMar>
              <w:top w:w="15" w:type="dxa"/>
              <w:left w:w="15" w:type="dxa"/>
              <w:bottom w:w="0" w:type="dxa"/>
              <w:right w:w="15" w:type="dxa"/>
            </w:tcMar>
            <w:vAlign w:val="center"/>
            <w:hideMark/>
          </w:tcPr>
          <w:p w14:paraId="5AAAC475"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Hypertension, n (%)</w:t>
            </w:r>
          </w:p>
        </w:tc>
        <w:tc>
          <w:tcPr>
            <w:tcW w:w="1530" w:type="dxa"/>
            <w:shd w:val="clear" w:color="auto" w:fill="auto"/>
            <w:tcMar>
              <w:top w:w="15" w:type="dxa"/>
              <w:left w:w="15" w:type="dxa"/>
              <w:bottom w:w="0" w:type="dxa"/>
              <w:right w:w="15" w:type="dxa"/>
            </w:tcMar>
            <w:vAlign w:val="center"/>
            <w:hideMark/>
          </w:tcPr>
          <w:p w14:paraId="643FA554"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115 (69.3)</w:t>
            </w:r>
          </w:p>
        </w:tc>
        <w:tc>
          <w:tcPr>
            <w:tcW w:w="1530" w:type="dxa"/>
            <w:shd w:val="clear" w:color="auto" w:fill="auto"/>
            <w:tcMar>
              <w:top w:w="15" w:type="dxa"/>
              <w:left w:w="15" w:type="dxa"/>
              <w:bottom w:w="0" w:type="dxa"/>
              <w:right w:w="15" w:type="dxa"/>
            </w:tcMar>
            <w:vAlign w:val="center"/>
            <w:hideMark/>
          </w:tcPr>
          <w:p w14:paraId="78B665C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158 (58.7)</w:t>
            </w:r>
          </w:p>
        </w:tc>
        <w:tc>
          <w:tcPr>
            <w:tcW w:w="720" w:type="dxa"/>
            <w:shd w:val="clear" w:color="auto" w:fill="auto"/>
            <w:tcMar>
              <w:top w:w="15" w:type="dxa"/>
              <w:left w:w="15" w:type="dxa"/>
              <w:bottom w:w="0" w:type="dxa"/>
              <w:right w:w="15" w:type="dxa"/>
            </w:tcMar>
            <w:vAlign w:val="center"/>
            <w:hideMark/>
          </w:tcPr>
          <w:p w14:paraId="086B4A1B"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0.221</w:t>
            </w:r>
          </w:p>
        </w:tc>
        <w:tc>
          <w:tcPr>
            <w:tcW w:w="1620" w:type="dxa"/>
            <w:shd w:val="clear" w:color="auto" w:fill="auto"/>
            <w:tcMar>
              <w:top w:w="15" w:type="dxa"/>
              <w:left w:w="15" w:type="dxa"/>
              <w:bottom w:w="0" w:type="dxa"/>
              <w:right w:w="15" w:type="dxa"/>
            </w:tcMar>
            <w:vAlign w:val="center"/>
            <w:hideMark/>
          </w:tcPr>
          <w:p w14:paraId="170693F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68 (59.6)</w:t>
            </w:r>
          </w:p>
        </w:tc>
        <w:tc>
          <w:tcPr>
            <w:tcW w:w="720" w:type="dxa"/>
            <w:shd w:val="clear" w:color="auto" w:fill="auto"/>
            <w:tcMar>
              <w:top w:w="15" w:type="dxa"/>
              <w:left w:w="15" w:type="dxa"/>
              <w:bottom w:w="0" w:type="dxa"/>
              <w:right w:w="15" w:type="dxa"/>
            </w:tcMar>
            <w:vAlign w:val="center"/>
            <w:hideMark/>
          </w:tcPr>
          <w:p w14:paraId="72669635"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0.202</w:t>
            </w:r>
          </w:p>
        </w:tc>
        <w:tc>
          <w:tcPr>
            <w:tcW w:w="1500" w:type="dxa"/>
            <w:shd w:val="clear" w:color="auto" w:fill="auto"/>
            <w:tcMar>
              <w:top w:w="15" w:type="dxa"/>
              <w:left w:w="15" w:type="dxa"/>
              <w:bottom w:w="0" w:type="dxa"/>
              <w:right w:w="15" w:type="dxa"/>
            </w:tcMar>
            <w:vAlign w:val="center"/>
            <w:hideMark/>
          </w:tcPr>
          <w:p w14:paraId="649D73A6"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90 (58.1)</w:t>
            </w:r>
          </w:p>
        </w:tc>
        <w:tc>
          <w:tcPr>
            <w:tcW w:w="693" w:type="dxa"/>
            <w:shd w:val="clear" w:color="auto" w:fill="auto"/>
            <w:tcMar>
              <w:top w:w="15" w:type="dxa"/>
              <w:left w:w="15" w:type="dxa"/>
              <w:bottom w:w="0" w:type="dxa"/>
              <w:right w:w="15" w:type="dxa"/>
            </w:tcMar>
            <w:vAlign w:val="center"/>
            <w:hideMark/>
          </w:tcPr>
          <w:p w14:paraId="076AA603"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0.235</w:t>
            </w:r>
          </w:p>
        </w:tc>
      </w:tr>
      <w:tr w:rsidR="001C37E4" w:rsidRPr="001C37E4" w14:paraId="04D11FC7" w14:textId="77777777" w:rsidTr="00EC53DB">
        <w:trPr>
          <w:trHeight w:val="269"/>
        </w:trPr>
        <w:tc>
          <w:tcPr>
            <w:tcW w:w="1975" w:type="dxa"/>
            <w:gridSpan w:val="2"/>
            <w:shd w:val="clear" w:color="auto" w:fill="auto"/>
            <w:tcMar>
              <w:top w:w="15" w:type="dxa"/>
              <w:left w:w="15" w:type="dxa"/>
              <w:bottom w:w="0" w:type="dxa"/>
              <w:right w:w="15" w:type="dxa"/>
            </w:tcMar>
            <w:vAlign w:val="center"/>
            <w:hideMark/>
          </w:tcPr>
          <w:p w14:paraId="4CBAC621"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Heart disease -composite</w:t>
            </w:r>
            <w:r w:rsidRPr="001C37E4">
              <w:rPr>
                <w:rFonts w:ascii="Arial" w:eastAsia="Times New Roman" w:hAnsi="Arial"/>
                <w:color w:val="000000"/>
                <w:sz w:val="16"/>
                <w:szCs w:val="16"/>
                <w:vertAlign w:val="superscript"/>
              </w:rPr>
              <w:t>a</w:t>
            </w:r>
            <w:r w:rsidRPr="001C37E4">
              <w:rPr>
                <w:rFonts w:ascii="Arial" w:eastAsia="Times New Roman" w:hAnsi="Arial"/>
                <w:color w:val="000000"/>
                <w:sz w:val="16"/>
                <w:szCs w:val="16"/>
              </w:rPr>
              <w:t>, n (%)</w:t>
            </w:r>
          </w:p>
        </w:tc>
        <w:tc>
          <w:tcPr>
            <w:tcW w:w="1530" w:type="dxa"/>
            <w:shd w:val="clear" w:color="auto" w:fill="auto"/>
            <w:tcMar>
              <w:top w:w="15" w:type="dxa"/>
              <w:left w:w="15" w:type="dxa"/>
              <w:bottom w:w="0" w:type="dxa"/>
              <w:right w:w="15" w:type="dxa"/>
            </w:tcMar>
            <w:vAlign w:val="center"/>
            <w:hideMark/>
          </w:tcPr>
          <w:p w14:paraId="344FCD1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15 (9.0)</w:t>
            </w:r>
          </w:p>
        </w:tc>
        <w:tc>
          <w:tcPr>
            <w:tcW w:w="1530" w:type="dxa"/>
            <w:shd w:val="clear" w:color="auto" w:fill="auto"/>
            <w:tcMar>
              <w:top w:w="15" w:type="dxa"/>
              <w:left w:w="15" w:type="dxa"/>
              <w:bottom w:w="0" w:type="dxa"/>
              <w:right w:w="15" w:type="dxa"/>
            </w:tcMar>
            <w:vAlign w:val="center"/>
            <w:hideMark/>
          </w:tcPr>
          <w:p w14:paraId="747B8A7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20 (7.4)</w:t>
            </w:r>
          </w:p>
        </w:tc>
        <w:tc>
          <w:tcPr>
            <w:tcW w:w="720" w:type="dxa"/>
            <w:shd w:val="clear" w:color="auto" w:fill="auto"/>
            <w:tcMar>
              <w:top w:w="15" w:type="dxa"/>
              <w:left w:w="15" w:type="dxa"/>
              <w:bottom w:w="0" w:type="dxa"/>
              <w:right w:w="15" w:type="dxa"/>
            </w:tcMar>
            <w:vAlign w:val="center"/>
            <w:hideMark/>
          </w:tcPr>
          <w:p w14:paraId="427B463A"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0.058</w:t>
            </w:r>
          </w:p>
        </w:tc>
        <w:tc>
          <w:tcPr>
            <w:tcW w:w="1620" w:type="dxa"/>
            <w:shd w:val="clear" w:color="auto" w:fill="auto"/>
            <w:tcMar>
              <w:top w:w="15" w:type="dxa"/>
              <w:left w:w="15" w:type="dxa"/>
              <w:bottom w:w="0" w:type="dxa"/>
              <w:right w:w="15" w:type="dxa"/>
            </w:tcMar>
            <w:vAlign w:val="center"/>
            <w:hideMark/>
          </w:tcPr>
          <w:p w14:paraId="0E420101"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10 (8.8)</w:t>
            </w:r>
          </w:p>
        </w:tc>
        <w:tc>
          <w:tcPr>
            <w:tcW w:w="720" w:type="dxa"/>
            <w:shd w:val="clear" w:color="auto" w:fill="auto"/>
            <w:tcMar>
              <w:top w:w="15" w:type="dxa"/>
              <w:left w:w="15" w:type="dxa"/>
              <w:bottom w:w="0" w:type="dxa"/>
              <w:right w:w="15" w:type="dxa"/>
            </w:tcMar>
            <w:vAlign w:val="center"/>
            <w:hideMark/>
          </w:tcPr>
          <w:p w14:paraId="152D465A"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0.009</w:t>
            </w:r>
          </w:p>
        </w:tc>
        <w:tc>
          <w:tcPr>
            <w:tcW w:w="1500" w:type="dxa"/>
            <w:shd w:val="clear" w:color="auto" w:fill="auto"/>
            <w:tcMar>
              <w:top w:w="15" w:type="dxa"/>
              <w:left w:w="15" w:type="dxa"/>
              <w:bottom w:w="0" w:type="dxa"/>
              <w:right w:w="15" w:type="dxa"/>
            </w:tcMar>
            <w:vAlign w:val="center"/>
            <w:hideMark/>
          </w:tcPr>
          <w:p w14:paraId="04F0AD03"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10 (6.5)</w:t>
            </w:r>
          </w:p>
        </w:tc>
        <w:tc>
          <w:tcPr>
            <w:tcW w:w="693" w:type="dxa"/>
            <w:shd w:val="clear" w:color="auto" w:fill="auto"/>
            <w:tcMar>
              <w:top w:w="15" w:type="dxa"/>
              <w:left w:w="15" w:type="dxa"/>
              <w:bottom w:w="0" w:type="dxa"/>
              <w:right w:w="15" w:type="dxa"/>
            </w:tcMar>
            <w:vAlign w:val="center"/>
            <w:hideMark/>
          </w:tcPr>
          <w:p w14:paraId="2029F60D"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00B050"/>
                <w:sz w:val="16"/>
                <w:szCs w:val="16"/>
              </w:rPr>
              <w:t>0.097</w:t>
            </w:r>
          </w:p>
        </w:tc>
      </w:tr>
      <w:tr w:rsidR="001C37E4" w:rsidRPr="001C37E4" w14:paraId="5E129887" w14:textId="77777777" w:rsidTr="00EC53DB">
        <w:trPr>
          <w:trHeight w:val="488"/>
        </w:trPr>
        <w:tc>
          <w:tcPr>
            <w:tcW w:w="1975" w:type="dxa"/>
            <w:gridSpan w:val="2"/>
            <w:shd w:val="clear" w:color="auto" w:fill="auto"/>
            <w:tcMar>
              <w:top w:w="15" w:type="dxa"/>
              <w:left w:w="15" w:type="dxa"/>
              <w:bottom w:w="0" w:type="dxa"/>
              <w:right w:w="15" w:type="dxa"/>
            </w:tcMar>
            <w:vAlign w:val="center"/>
            <w:hideMark/>
          </w:tcPr>
          <w:p w14:paraId="65BCBA9B"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Thromboembolic event - composite</w:t>
            </w:r>
            <w:r w:rsidRPr="001C37E4">
              <w:rPr>
                <w:rFonts w:ascii="Arial" w:eastAsia="Times New Roman" w:hAnsi="Arial"/>
                <w:color w:val="000000"/>
                <w:sz w:val="16"/>
                <w:szCs w:val="16"/>
                <w:vertAlign w:val="superscript"/>
              </w:rPr>
              <w:t>b</w:t>
            </w:r>
            <w:r w:rsidRPr="001C37E4">
              <w:rPr>
                <w:rFonts w:ascii="Arial" w:eastAsia="Times New Roman" w:hAnsi="Arial"/>
                <w:color w:val="000000"/>
                <w:sz w:val="16"/>
                <w:szCs w:val="16"/>
              </w:rPr>
              <w:t>, n (%)</w:t>
            </w:r>
          </w:p>
        </w:tc>
        <w:tc>
          <w:tcPr>
            <w:tcW w:w="1530" w:type="dxa"/>
            <w:shd w:val="clear" w:color="auto" w:fill="auto"/>
            <w:tcMar>
              <w:top w:w="15" w:type="dxa"/>
              <w:left w:w="15" w:type="dxa"/>
              <w:bottom w:w="0" w:type="dxa"/>
              <w:right w:w="15" w:type="dxa"/>
            </w:tcMar>
            <w:vAlign w:val="center"/>
            <w:hideMark/>
          </w:tcPr>
          <w:p w14:paraId="144FB7A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18 (10.8)</w:t>
            </w:r>
          </w:p>
        </w:tc>
        <w:tc>
          <w:tcPr>
            <w:tcW w:w="1530" w:type="dxa"/>
            <w:shd w:val="clear" w:color="auto" w:fill="auto"/>
            <w:tcMar>
              <w:top w:w="15" w:type="dxa"/>
              <w:left w:w="15" w:type="dxa"/>
              <w:bottom w:w="0" w:type="dxa"/>
              <w:right w:w="15" w:type="dxa"/>
            </w:tcMar>
            <w:vAlign w:val="center"/>
            <w:hideMark/>
          </w:tcPr>
          <w:p w14:paraId="51467337"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16 (5.9)</w:t>
            </w:r>
          </w:p>
        </w:tc>
        <w:tc>
          <w:tcPr>
            <w:tcW w:w="720" w:type="dxa"/>
            <w:shd w:val="clear" w:color="auto" w:fill="auto"/>
            <w:tcMar>
              <w:top w:w="15" w:type="dxa"/>
              <w:left w:w="15" w:type="dxa"/>
              <w:bottom w:w="0" w:type="dxa"/>
              <w:right w:w="15" w:type="dxa"/>
            </w:tcMar>
            <w:vAlign w:val="center"/>
            <w:hideMark/>
          </w:tcPr>
          <w:p w14:paraId="16BED921"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0.177</w:t>
            </w:r>
          </w:p>
        </w:tc>
        <w:tc>
          <w:tcPr>
            <w:tcW w:w="1620" w:type="dxa"/>
            <w:shd w:val="clear" w:color="auto" w:fill="auto"/>
            <w:tcMar>
              <w:top w:w="15" w:type="dxa"/>
              <w:left w:w="15" w:type="dxa"/>
              <w:bottom w:w="0" w:type="dxa"/>
              <w:right w:w="15" w:type="dxa"/>
            </w:tcMar>
            <w:vAlign w:val="center"/>
            <w:hideMark/>
          </w:tcPr>
          <w:p w14:paraId="329C79C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 (5.3)</w:t>
            </w:r>
          </w:p>
        </w:tc>
        <w:tc>
          <w:tcPr>
            <w:tcW w:w="720" w:type="dxa"/>
            <w:shd w:val="clear" w:color="auto" w:fill="auto"/>
            <w:tcMar>
              <w:top w:w="15" w:type="dxa"/>
              <w:left w:w="15" w:type="dxa"/>
              <w:bottom w:w="0" w:type="dxa"/>
              <w:right w:w="15" w:type="dxa"/>
            </w:tcMar>
            <w:vAlign w:val="center"/>
            <w:hideMark/>
          </w:tcPr>
          <w:p w14:paraId="37F91A11"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0.206</w:t>
            </w:r>
          </w:p>
        </w:tc>
        <w:tc>
          <w:tcPr>
            <w:tcW w:w="1500" w:type="dxa"/>
            <w:shd w:val="clear" w:color="auto" w:fill="auto"/>
            <w:tcMar>
              <w:top w:w="15" w:type="dxa"/>
              <w:left w:w="15" w:type="dxa"/>
              <w:bottom w:w="0" w:type="dxa"/>
              <w:right w:w="15" w:type="dxa"/>
            </w:tcMar>
            <w:vAlign w:val="center"/>
            <w:hideMark/>
          </w:tcPr>
          <w:p w14:paraId="6A69D64A"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10 (6.5)</w:t>
            </w:r>
          </w:p>
        </w:tc>
        <w:tc>
          <w:tcPr>
            <w:tcW w:w="693" w:type="dxa"/>
            <w:shd w:val="clear" w:color="auto" w:fill="auto"/>
            <w:tcMar>
              <w:top w:w="15" w:type="dxa"/>
              <w:left w:w="15" w:type="dxa"/>
              <w:bottom w:w="0" w:type="dxa"/>
              <w:right w:w="15" w:type="dxa"/>
            </w:tcMar>
            <w:vAlign w:val="center"/>
            <w:hideMark/>
          </w:tcPr>
          <w:p w14:paraId="794EC619"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0.157</w:t>
            </w:r>
          </w:p>
        </w:tc>
      </w:tr>
      <w:tr w:rsidR="001C37E4" w:rsidRPr="001C37E4" w14:paraId="4535256E" w14:textId="77777777" w:rsidTr="00EC53DB">
        <w:trPr>
          <w:trHeight w:val="269"/>
        </w:trPr>
        <w:tc>
          <w:tcPr>
            <w:tcW w:w="1975" w:type="dxa"/>
            <w:gridSpan w:val="2"/>
            <w:shd w:val="clear" w:color="auto" w:fill="auto"/>
            <w:tcMar>
              <w:top w:w="15" w:type="dxa"/>
              <w:left w:w="15" w:type="dxa"/>
              <w:bottom w:w="0" w:type="dxa"/>
              <w:right w:w="15" w:type="dxa"/>
            </w:tcMar>
            <w:vAlign w:val="center"/>
            <w:hideMark/>
          </w:tcPr>
          <w:p w14:paraId="0A725F2B"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Other arrhythmia - composite</w:t>
            </w:r>
            <w:r w:rsidRPr="001C37E4">
              <w:rPr>
                <w:rFonts w:ascii="Arial" w:eastAsia="Times New Roman" w:hAnsi="Arial"/>
                <w:color w:val="000000"/>
                <w:sz w:val="16"/>
                <w:szCs w:val="16"/>
                <w:vertAlign w:val="superscript"/>
              </w:rPr>
              <w:t>c</w:t>
            </w:r>
            <w:r w:rsidRPr="001C37E4">
              <w:rPr>
                <w:rFonts w:ascii="Arial" w:eastAsia="Times New Roman" w:hAnsi="Arial"/>
                <w:color w:val="000000"/>
                <w:sz w:val="16"/>
                <w:szCs w:val="16"/>
              </w:rPr>
              <w:t>, n (%)</w:t>
            </w:r>
          </w:p>
        </w:tc>
        <w:tc>
          <w:tcPr>
            <w:tcW w:w="1530" w:type="dxa"/>
            <w:shd w:val="clear" w:color="auto" w:fill="auto"/>
            <w:tcMar>
              <w:top w:w="15" w:type="dxa"/>
              <w:left w:w="15" w:type="dxa"/>
              <w:bottom w:w="0" w:type="dxa"/>
              <w:right w:w="15" w:type="dxa"/>
            </w:tcMar>
            <w:vAlign w:val="center"/>
            <w:hideMark/>
          </w:tcPr>
          <w:p w14:paraId="60B9AC37"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44 (26.5)</w:t>
            </w:r>
          </w:p>
        </w:tc>
        <w:tc>
          <w:tcPr>
            <w:tcW w:w="1530" w:type="dxa"/>
            <w:shd w:val="clear" w:color="auto" w:fill="auto"/>
            <w:tcMar>
              <w:top w:w="15" w:type="dxa"/>
              <w:left w:w="15" w:type="dxa"/>
              <w:bottom w:w="0" w:type="dxa"/>
              <w:right w:w="15" w:type="dxa"/>
            </w:tcMar>
            <w:vAlign w:val="center"/>
            <w:hideMark/>
          </w:tcPr>
          <w:p w14:paraId="4E10B1A4"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94 (34.9)</w:t>
            </w:r>
          </w:p>
        </w:tc>
        <w:tc>
          <w:tcPr>
            <w:tcW w:w="720" w:type="dxa"/>
            <w:shd w:val="clear" w:color="auto" w:fill="auto"/>
            <w:tcMar>
              <w:top w:w="15" w:type="dxa"/>
              <w:left w:w="15" w:type="dxa"/>
              <w:bottom w:w="0" w:type="dxa"/>
              <w:right w:w="15" w:type="dxa"/>
            </w:tcMar>
            <w:vAlign w:val="center"/>
            <w:hideMark/>
          </w:tcPr>
          <w:p w14:paraId="717BBD7D"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0.184</w:t>
            </w:r>
          </w:p>
        </w:tc>
        <w:tc>
          <w:tcPr>
            <w:tcW w:w="1620" w:type="dxa"/>
            <w:shd w:val="clear" w:color="auto" w:fill="auto"/>
            <w:tcMar>
              <w:top w:w="15" w:type="dxa"/>
              <w:left w:w="15" w:type="dxa"/>
              <w:bottom w:w="0" w:type="dxa"/>
              <w:right w:w="15" w:type="dxa"/>
            </w:tcMar>
            <w:vAlign w:val="center"/>
            <w:hideMark/>
          </w:tcPr>
          <w:p w14:paraId="3321473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42 (36.8)</w:t>
            </w:r>
          </w:p>
        </w:tc>
        <w:tc>
          <w:tcPr>
            <w:tcW w:w="720" w:type="dxa"/>
            <w:shd w:val="clear" w:color="auto" w:fill="auto"/>
            <w:tcMar>
              <w:top w:w="15" w:type="dxa"/>
              <w:left w:w="15" w:type="dxa"/>
              <w:bottom w:w="0" w:type="dxa"/>
              <w:right w:w="15" w:type="dxa"/>
            </w:tcMar>
            <w:vAlign w:val="center"/>
            <w:hideMark/>
          </w:tcPr>
          <w:p w14:paraId="1EB6DF7B"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0.224</w:t>
            </w:r>
          </w:p>
        </w:tc>
        <w:tc>
          <w:tcPr>
            <w:tcW w:w="1500" w:type="dxa"/>
            <w:shd w:val="clear" w:color="auto" w:fill="auto"/>
            <w:tcMar>
              <w:top w:w="15" w:type="dxa"/>
              <w:left w:w="15" w:type="dxa"/>
              <w:bottom w:w="0" w:type="dxa"/>
              <w:right w:w="15" w:type="dxa"/>
            </w:tcMar>
            <w:vAlign w:val="center"/>
            <w:hideMark/>
          </w:tcPr>
          <w:p w14:paraId="68A82FDF"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52 (33.5)</w:t>
            </w:r>
          </w:p>
        </w:tc>
        <w:tc>
          <w:tcPr>
            <w:tcW w:w="693" w:type="dxa"/>
            <w:shd w:val="clear" w:color="auto" w:fill="auto"/>
            <w:tcMar>
              <w:top w:w="15" w:type="dxa"/>
              <w:left w:w="15" w:type="dxa"/>
              <w:bottom w:w="0" w:type="dxa"/>
              <w:right w:w="15" w:type="dxa"/>
            </w:tcMar>
            <w:vAlign w:val="center"/>
            <w:hideMark/>
          </w:tcPr>
          <w:p w14:paraId="17417513"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0.154</w:t>
            </w:r>
          </w:p>
        </w:tc>
      </w:tr>
      <w:tr w:rsidR="001C37E4" w:rsidRPr="001C37E4" w14:paraId="6CE41C8D" w14:textId="77777777" w:rsidTr="00EC53DB">
        <w:trPr>
          <w:trHeight w:val="537"/>
        </w:trPr>
        <w:tc>
          <w:tcPr>
            <w:tcW w:w="1975" w:type="dxa"/>
            <w:gridSpan w:val="2"/>
            <w:shd w:val="clear" w:color="auto" w:fill="auto"/>
            <w:tcMar>
              <w:top w:w="15" w:type="dxa"/>
              <w:left w:w="15" w:type="dxa"/>
              <w:bottom w:w="0" w:type="dxa"/>
              <w:right w:w="15" w:type="dxa"/>
            </w:tcMar>
            <w:vAlign w:val="center"/>
            <w:hideMark/>
          </w:tcPr>
          <w:p w14:paraId="22E9CA66"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Ablation procedure within 1 year prior to enrollment, n (%)</w:t>
            </w:r>
          </w:p>
        </w:tc>
        <w:tc>
          <w:tcPr>
            <w:tcW w:w="1530" w:type="dxa"/>
            <w:shd w:val="clear" w:color="auto" w:fill="auto"/>
            <w:tcMar>
              <w:top w:w="15" w:type="dxa"/>
              <w:left w:w="15" w:type="dxa"/>
              <w:bottom w:w="0" w:type="dxa"/>
              <w:right w:w="15" w:type="dxa"/>
            </w:tcMar>
            <w:vAlign w:val="center"/>
            <w:hideMark/>
          </w:tcPr>
          <w:p w14:paraId="7E0671E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w:t>
            </w:r>
            <w:r w:rsidRPr="001C37E4">
              <w:rPr>
                <w:rFonts w:ascii="Arial" w:eastAsia="Times New Roman" w:hAnsi="Arial"/>
                <w:color w:val="000000"/>
                <w:position w:val="6"/>
                <w:sz w:val="16"/>
                <w:szCs w:val="16"/>
                <w:vertAlign w:val="superscript"/>
              </w:rPr>
              <w:t>d</w:t>
            </w:r>
            <w:r w:rsidRPr="001C37E4">
              <w:rPr>
                <w:rFonts w:ascii="Arial" w:eastAsia="Times New Roman" w:hAnsi="Arial"/>
                <w:color w:val="000000"/>
                <w:sz w:val="16"/>
                <w:szCs w:val="16"/>
              </w:rPr>
              <w:t xml:space="preserve"> (1.8)</w:t>
            </w:r>
          </w:p>
        </w:tc>
        <w:tc>
          <w:tcPr>
            <w:tcW w:w="1530" w:type="dxa"/>
            <w:shd w:val="clear" w:color="auto" w:fill="auto"/>
            <w:tcMar>
              <w:top w:w="15" w:type="dxa"/>
              <w:left w:w="15" w:type="dxa"/>
              <w:bottom w:w="0" w:type="dxa"/>
              <w:right w:w="15" w:type="dxa"/>
            </w:tcMar>
            <w:vAlign w:val="center"/>
            <w:hideMark/>
          </w:tcPr>
          <w:p w14:paraId="584DD795"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10 (3.7)</w:t>
            </w:r>
          </w:p>
        </w:tc>
        <w:tc>
          <w:tcPr>
            <w:tcW w:w="720" w:type="dxa"/>
            <w:shd w:val="clear" w:color="auto" w:fill="auto"/>
            <w:tcMar>
              <w:top w:w="15" w:type="dxa"/>
              <w:left w:w="15" w:type="dxa"/>
              <w:bottom w:w="0" w:type="dxa"/>
              <w:right w:w="15" w:type="dxa"/>
            </w:tcMar>
            <w:vAlign w:val="center"/>
            <w:hideMark/>
          </w:tcPr>
          <w:p w14:paraId="3D544F6A"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0.117</w:t>
            </w:r>
          </w:p>
        </w:tc>
        <w:tc>
          <w:tcPr>
            <w:tcW w:w="1620" w:type="dxa"/>
            <w:shd w:val="clear" w:color="auto" w:fill="auto"/>
            <w:tcMar>
              <w:top w:w="15" w:type="dxa"/>
              <w:left w:w="15" w:type="dxa"/>
              <w:bottom w:w="0" w:type="dxa"/>
              <w:right w:w="15" w:type="dxa"/>
            </w:tcMar>
            <w:vAlign w:val="center"/>
            <w:hideMark/>
          </w:tcPr>
          <w:p w14:paraId="667758A4"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2 (1.8)</w:t>
            </w:r>
          </w:p>
        </w:tc>
        <w:tc>
          <w:tcPr>
            <w:tcW w:w="720" w:type="dxa"/>
            <w:shd w:val="clear" w:color="auto" w:fill="auto"/>
            <w:tcMar>
              <w:top w:w="15" w:type="dxa"/>
              <w:left w:w="15" w:type="dxa"/>
              <w:bottom w:w="0" w:type="dxa"/>
              <w:right w:w="15" w:type="dxa"/>
            </w:tcMar>
            <w:vAlign w:val="center"/>
            <w:hideMark/>
          </w:tcPr>
          <w:p w14:paraId="0B908231"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00B050"/>
                <w:sz w:val="16"/>
                <w:szCs w:val="16"/>
              </w:rPr>
              <w:t>0.004</w:t>
            </w:r>
          </w:p>
        </w:tc>
        <w:tc>
          <w:tcPr>
            <w:tcW w:w="1500" w:type="dxa"/>
            <w:shd w:val="clear" w:color="auto" w:fill="auto"/>
            <w:tcMar>
              <w:top w:w="15" w:type="dxa"/>
              <w:left w:w="15" w:type="dxa"/>
              <w:bottom w:w="0" w:type="dxa"/>
              <w:right w:w="15" w:type="dxa"/>
            </w:tcMar>
            <w:vAlign w:val="center"/>
            <w:hideMark/>
          </w:tcPr>
          <w:p w14:paraId="41DF59E2"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8 (5.2)</w:t>
            </w:r>
          </w:p>
        </w:tc>
        <w:tc>
          <w:tcPr>
            <w:tcW w:w="693" w:type="dxa"/>
            <w:shd w:val="clear" w:color="auto" w:fill="auto"/>
            <w:tcMar>
              <w:top w:w="15" w:type="dxa"/>
              <w:left w:w="15" w:type="dxa"/>
              <w:bottom w:w="0" w:type="dxa"/>
              <w:right w:w="15" w:type="dxa"/>
            </w:tcMar>
            <w:vAlign w:val="center"/>
            <w:hideMark/>
          </w:tcPr>
          <w:p w14:paraId="308802E7"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ED8B00"/>
                <w:sz w:val="16"/>
                <w:szCs w:val="16"/>
              </w:rPr>
              <w:t>0.184</w:t>
            </w:r>
          </w:p>
        </w:tc>
      </w:tr>
      <w:tr w:rsidR="001C37E4" w:rsidRPr="001C37E4" w14:paraId="1D433A57" w14:textId="77777777" w:rsidTr="00EC53DB">
        <w:trPr>
          <w:trHeight w:val="269"/>
        </w:trPr>
        <w:tc>
          <w:tcPr>
            <w:tcW w:w="1129" w:type="dxa"/>
            <w:vMerge w:val="restart"/>
            <w:shd w:val="clear" w:color="auto" w:fill="auto"/>
            <w:tcMar>
              <w:top w:w="15" w:type="dxa"/>
              <w:left w:w="15" w:type="dxa"/>
              <w:bottom w:w="0" w:type="dxa"/>
              <w:right w:w="15" w:type="dxa"/>
            </w:tcMar>
            <w:vAlign w:val="center"/>
            <w:hideMark/>
          </w:tcPr>
          <w:p w14:paraId="062835C0"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Age</w:t>
            </w:r>
          </w:p>
        </w:tc>
        <w:tc>
          <w:tcPr>
            <w:tcW w:w="846" w:type="dxa"/>
            <w:shd w:val="clear" w:color="auto" w:fill="auto"/>
            <w:tcMar>
              <w:top w:w="15" w:type="dxa"/>
              <w:left w:w="15" w:type="dxa"/>
              <w:bottom w:w="0" w:type="dxa"/>
              <w:right w:w="15" w:type="dxa"/>
            </w:tcMar>
            <w:vAlign w:val="center"/>
            <w:hideMark/>
          </w:tcPr>
          <w:p w14:paraId="4FA2C936"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mean (SD)</w:t>
            </w:r>
          </w:p>
        </w:tc>
        <w:tc>
          <w:tcPr>
            <w:tcW w:w="1530" w:type="dxa"/>
            <w:shd w:val="clear" w:color="auto" w:fill="auto"/>
            <w:tcMar>
              <w:top w:w="15" w:type="dxa"/>
              <w:left w:w="15" w:type="dxa"/>
              <w:bottom w:w="0" w:type="dxa"/>
              <w:right w:w="15" w:type="dxa"/>
            </w:tcMar>
            <w:vAlign w:val="center"/>
            <w:hideMark/>
          </w:tcPr>
          <w:p w14:paraId="330DFAE1"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63.16 (11.03)</w:t>
            </w:r>
          </w:p>
        </w:tc>
        <w:tc>
          <w:tcPr>
            <w:tcW w:w="1530" w:type="dxa"/>
            <w:shd w:val="clear" w:color="auto" w:fill="auto"/>
            <w:tcMar>
              <w:top w:w="15" w:type="dxa"/>
              <w:left w:w="15" w:type="dxa"/>
              <w:bottom w:w="0" w:type="dxa"/>
              <w:right w:w="15" w:type="dxa"/>
            </w:tcMar>
            <w:vAlign w:val="center"/>
            <w:hideMark/>
          </w:tcPr>
          <w:p w14:paraId="3A5E508C"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60.68 (10.72)</w:t>
            </w:r>
          </w:p>
        </w:tc>
        <w:tc>
          <w:tcPr>
            <w:tcW w:w="720" w:type="dxa"/>
            <w:vMerge w:val="restart"/>
            <w:shd w:val="clear" w:color="auto" w:fill="auto"/>
            <w:tcMar>
              <w:top w:w="15" w:type="dxa"/>
              <w:left w:w="15" w:type="dxa"/>
              <w:bottom w:w="0" w:type="dxa"/>
              <w:right w:w="15" w:type="dxa"/>
            </w:tcMar>
            <w:vAlign w:val="center"/>
            <w:hideMark/>
          </w:tcPr>
          <w:p w14:paraId="4F44D749"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0.228</w:t>
            </w:r>
          </w:p>
        </w:tc>
        <w:tc>
          <w:tcPr>
            <w:tcW w:w="1620" w:type="dxa"/>
            <w:shd w:val="clear" w:color="auto" w:fill="auto"/>
            <w:tcMar>
              <w:top w:w="15" w:type="dxa"/>
              <w:left w:w="15" w:type="dxa"/>
              <w:bottom w:w="0" w:type="dxa"/>
              <w:right w:w="15" w:type="dxa"/>
            </w:tcMar>
            <w:vAlign w:val="center"/>
            <w:hideMark/>
          </w:tcPr>
          <w:p w14:paraId="1F03EFD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57.99 (10.96)</w:t>
            </w:r>
          </w:p>
        </w:tc>
        <w:tc>
          <w:tcPr>
            <w:tcW w:w="720" w:type="dxa"/>
            <w:vMerge w:val="restart"/>
            <w:shd w:val="clear" w:color="auto" w:fill="auto"/>
            <w:tcMar>
              <w:top w:w="15" w:type="dxa"/>
              <w:left w:w="15" w:type="dxa"/>
              <w:bottom w:w="0" w:type="dxa"/>
              <w:right w:w="15" w:type="dxa"/>
            </w:tcMar>
            <w:vAlign w:val="center"/>
            <w:hideMark/>
          </w:tcPr>
          <w:p w14:paraId="751539FC"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FF0000"/>
                <w:sz w:val="16"/>
                <w:szCs w:val="16"/>
              </w:rPr>
              <w:t>0.470</w:t>
            </w:r>
          </w:p>
        </w:tc>
        <w:tc>
          <w:tcPr>
            <w:tcW w:w="1500" w:type="dxa"/>
            <w:shd w:val="clear" w:color="auto" w:fill="auto"/>
            <w:tcMar>
              <w:top w:w="15" w:type="dxa"/>
              <w:left w:w="15" w:type="dxa"/>
              <w:bottom w:w="0" w:type="dxa"/>
              <w:right w:w="15" w:type="dxa"/>
            </w:tcMar>
            <w:vAlign w:val="center"/>
            <w:hideMark/>
          </w:tcPr>
          <w:p w14:paraId="4A5E76CD"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62.66 (10.13)</w:t>
            </w:r>
          </w:p>
        </w:tc>
        <w:tc>
          <w:tcPr>
            <w:tcW w:w="693" w:type="dxa"/>
            <w:vMerge w:val="restart"/>
            <w:shd w:val="clear" w:color="auto" w:fill="auto"/>
            <w:tcMar>
              <w:top w:w="15" w:type="dxa"/>
              <w:left w:w="15" w:type="dxa"/>
              <w:bottom w:w="0" w:type="dxa"/>
              <w:right w:w="15" w:type="dxa"/>
            </w:tcMar>
            <w:vAlign w:val="center"/>
            <w:hideMark/>
          </w:tcPr>
          <w:p w14:paraId="250072DC"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00B050"/>
                <w:sz w:val="16"/>
                <w:szCs w:val="16"/>
              </w:rPr>
              <w:t>0.047</w:t>
            </w:r>
          </w:p>
        </w:tc>
      </w:tr>
      <w:tr w:rsidR="001C37E4" w:rsidRPr="001C37E4" w14:paraId="152FB598" w14:textId="77777777" w:rsidTr="00EC53DB">
        <w:trPr>
          <w:trHeight w:val="269"/>
        </w:trPr>
        <w:tc>
          <w:tcPr>
            <w:tcW w:w="1129" w:type="dxa"/>
            <w:vMerge/>
            <w:vAlign w:val="center"/>
            <w:hideMark/>
          </w:tcPr>
          <w:p w14:paraId="3721DBF8" w14:textId="77777777" w:rsidR="001C37E4" w:rsidRPr="001C37E4" w:rsidRDefault="001C37E4" w:rsidP="001C37E4">
            <w:pPr>
              <w:spacing w:after="0" w:line="240" w:lineRule="auto"/>
              <w:jc w:val="left"/>
              <w:rPr>
                <w:rFonts w:ascii="Arial" w:eastAsia="Times New Roman" w:hAnsi="Arial"/>
                <w:sz w:val="16"/>
                <w:szCs w:val="16"/>
              </w:rPr>
            </w:pPr>
          </w:p>
        </w:tc>
        <w:tc>
          <w:tcPr>
            <w:tcW w:w="846" w:type="dxa"/>
            <w:shd w:val="clear" w:color="auto" w:fill="auto"/>
            <w:tcMar>
              <w:top w:w="15" w:type="dxa"/>
              <w:left w:w="15" w:type="dxa"/>
              <w:bottom w:w="0" w:type="dxa"/>
              <w:right w:w="15" w:type="dxa"/>
            </w:tcMar>
            <w:vAlign w:val="center"/>
            <w:hideMark/>
          </w:tcPr>
          <w:p w14:paraId="2900940F"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median [IQR]</w:t>
            </w:r>
          </w:p>
        </w:tc>
        <w:tc>
          <w:tcPr>
            <w:tcW w:w="1530" w:type="dxa"/>
            <w:shd w:val="clear" w:color="auto" w:fill="auto"/>
            <w:tcMar>
              <w:top w:w="15" w:type="dxa"/>
              <w:left w:w="15" w:type="dxa"/>
              <w:bottom w:w="0" w:type="dxa"/>
              <w:right w:w="15" w:type="dxa"/>
            </w:tcMar>
            <w:vAlign w:val="center"/>
            <w:hideMark/>
          </w:tcPr>
          <w:p w14:paraId="163CCA8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65.50 [56.25, 71.00]</w:t>
            </w:r>
          </w:p>
        </w:tc>
        <w:tc>
          <w:tcPr>
            <w:tcW w:w="1530" w:type="dxa"/>
            <w:shd w:val="clear" w:color="auto" w:fill="auto"/>
            <w:tcMar>
              <w:top w:w="15" w:type="dxa"/>
              <w:left w:w="15" w:type="dxa"/>
              <w:bottom w:w="0" w:type="dxa"/>
              <w:right w:w="15" w:type="dxa"/>
            </w:tcMar>
            <w:vAlign w:val="center"/>
            <w:hideMark/>
          </w:tcPr>
          <w:p w14:paraId="353391E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61.00 [53.00, 69.00]</w:t>
            </w:r>
          </w:p>
        </w:tc>
        <w:tc>
          <w:tcPr>
            <w:tcW w:w="720" w:type="dxa"/>
            <w:vMerge/>
            <w:vAlign w:val="center"/>
            <w:hideMark/>
          </w:tcPr>
          <w:p w14:paraId="16708550"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620" w:type="dxa"/>
            <w:shd w:val="clear" w:color="auto" w:fill="auto"/>
            <w:tcMar>
              <w:top w:w="15" w:type="dxa"/>
              <w:left w:w="15" w:type="dxa"/>
              <w:bottom w:w="0" w:type="dxa"/>
              <w:right w:w="15" w:type="dxa"/>
            </w:tcMar>
            <w:vAlign w:val="center"/>
            <w:hideMark/>
          </w:tcPr>
          <w:p w14:paraId="75B70B5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59.00 [51.25, 66.00]</w:t>
            </w:r>
          </w:p>
        </w:tc>
        <w:tc>
          <w:tcPr>
            <w:tcW w:w="720" w:type="dxa"/>
            <w:vMerge/>
            <w:vAlign w:val="center"/>
            <w:hideMark/>
          </w:tcPr>
          <w:p w14:paraId="0A3B6BDE"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500" w:type="dxa"/>
            <w:shd w:val="clear" w:color="auto" w:fill="auto"/>
            <w:tcMar>
              <w:top w:w="15" w:type="dxa"/>
              <w:left w:w="15" w:type="dxa"/>
              <w:bottom w:w="0" w:type="dxa"/>
              <w:right w:w="15" w:type="dxa"/>
            </w:tcMar>
            <w:vAlign w:val="center"/>
            <w:hideMark/>
          </w:tcPr>
          <w:p w14:paraId="24A5D3FB"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64.00 [55.00, 71.00]</w:t>
            </w:r>
          </w:p>
        </w:tc>
        <w:tc>
          <w:tcPr>
            <w:tcW w:w="693" w:type="dxa"/>
            <w:vMerge/>
            <w:vAlign w:val="center"/>
            <w:hideMark/>
          </w:tcPr>
          <w:p w14:paraId="08C1FDBB" w14:textId="77777777" w:rsidR="001C37E4" w:rsidRPr="001C37E4" w:rsidRDefault="001C37E4" w:rsidP="001C37E4">
            <w:pPr>
              <w:spacing w:after="0" w:line="240" w:lineRule="auto"/>
              <w:jc w:val="left"/>
              <w:rPr>
                <w:rFonts w:ascii="Arial" w:eastAsia="Times New Roman" w:hAnsi="Arial"/>
                <w:b/>
                <w:color w:val="000000"/>
                <w:sz w:val="16"/>
                <w:szCs w:val="16"/>
              </w:rPr>
            </w:pPr>
          </w:p>
        </w:tc>
      </w:tr>
      <w:tr w:rsidR="001C37E4" w:rsidRPr="001C37E4" w14:paraId="7507949F" w14:textId="77777777" w:rsidTr="00EC53DB">
        <w:trPr>
          <w:trHeight w:val="269"/>
        </w:trPr>
        <w:tc>
          <w:tcPr>
            <w:tcW w:w="1129" w:type="dxa"/>
            <w:vMerge/>
            <w:vAlign w:val="center"/>
            <w:hideMark/>
          </w:tcPr>
          <w:p w14:paraId="625646B5" w14:textId="77777777" w:rsidR="001C37E4" w:rsidRPr="001C37E4" w:rsidRDefault="001C37E4" w:rsidP="001C37E4">
            <w:pPr>
              <w:spacing w:after="0" w:line="240" w:lineRule="auto"/>
              <w:jc w:val="left"/>
              <w:rPr>
                <w:rFonts w:ascii="Arial" w:eastAsia="Times New Roman" w:hAnsi="Arial"/>
                <w:sz w:val="16"/>
                <w:szCs w:val="16"/>
              </w:rPr>
            </w:pPr>
          </w:p>
        </w:tc>
        <w:tc>
          <w:tcPr>
            <w:tcW w:w="846" w:type="dxa"/>
            <w:shd w:val="clear" w:color="auto" w:fill="auto"/>
            <w:tcMar>
              <w:top w:w="15" w:type="dxa"/>
              <w:left w:w="15" w:type="dxa"/>
              <w:bottom w:w="0" w:type="dxa"/>
              <w:right w:w="15" w:type="dxa"/>
            </w:tcMar>
            <w:vAlign w:val="center"/>
            <w:hideMark/>
          </w:tcPr>
          <w:p w14:paraId="22E37A54"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median [range]</w:t>
            </w:r>
          </w:p>
        </w:tc>
        <w:tc>
          <w:tcPr>
            <w:tcW w:w="1530" w:type="dxa"/>
            <w:shd w:val="clear" w:color="auto" w:fill="auto"/>
            <w:tcMar>
              <w:top w:w="15" w:type="dxa"/>
              <w:left w:w="15" w:type="dxa"/>
              <w:bottom w:w="0" w:type="dxa"/>
              <w:right w:w="15" w:type="dxa"/>
            </w:tcMar>
            <w:vAlign w:val="center"/>
            <w:hideMark/>
          </w:tcPr>
          <w:p w14:paraId="0BD8A390"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65.50 [24.00, 83.00]</w:t>
            </w:r>
          </w:p>
        </w:tc>
        <w:tc>
          <w:tcPr>
            <w:tcW w:w="1530" w:type="dxa"/>
            <w:shd w:val="clear" w:color="auto" w:fill="auto"/>
            <w:tcMar>
              <w:top w:w="15" w:type="dxa"/>
              <w:left w:w="15" w:type="dxa"/>
              <w:bottom w:w="0" w:type="dxa"/>
              <w:right w:w="15" w:type="dxa"/>
            </w:tcMar>
            <w:vAlign w:val="center"/>
            <w:hideMark/>
          </w:tcPr>
          <w:p w14:paraId="110783E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61.00 [25.00, 83.00]</w:t>
            </w:r>
          </w:p>
        </w:tc>
        <w:tc>
          <w:tcPr>
            <w:tcW w:w="720" w:type="dxa"/>
            <w:vMerge/>
            <w:vAlign w:val="center"/>
            <w:hideMark/>
          </w:tcPr>
          <w:p w14:paraId="685B5442"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620" w:type="dxa"/>
            <w:shd w:val="clear" w:color="auto" w:fill="auto"/>
            <w:tcMar>
              <w:top w:w="15" w:type="dxa"/>
              <w:left w:w="15" w:type="dxa"/>
              <w:bottom w:w="0" w:type="dxa"/>
              <w:right w:w="15" w:type="dxa"/>
            </w:tcMar>
            <w:vAlign w:val="center"/>
            <w:hideMark/>
          </w:tcPr>
          <w:p w14:paraId="12BC5C0B"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59.00 [25.00, 77.00]</w:t>
            </w:r>
          </w:p>
        </w:tc>
        <w:tc>
          <w:tcPr>
            <w:tcW w:w="720" w:type="dxa"/>
            <w:vMerge/>
            <w:vAlign w:val="center"/>
            <w:hideMark/>
          </w:tcPr>
          <w:p w14:paraId="5F23D355"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500" w:type="dxa"/>
            <w:shd w:val="clear" w:color="auto" w:fill="auto"/>
            <w:tcMar>
              <w:top w:w="15" w:type="dxa"/>
              <w:left w:w="15" w:type="dxa"/>
              <w:bottom w:w="0" w:type="dxa"/>
              <w:right w:w="15" w:type="dxa"/>
            </w:tcMar>
            <w:vAlign w:val="center"/>
            <w:hideMark/>
          </w:tcPr>
          <w:p w14:paraId="7C6F4CB3"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64.00 [35.00, 83.00]</w:t>
            </w:r>
          </w:p>
        </w:tc>
        <w:tc>
          <w:tcPr>
            <w:tcW w:w="693" w:type="dxa"/>
            <w:vMerge/>
            <w:vAlign w:val="center"/>
            <w:hideMark/>
          </w:tcPr>
          <w:p w14:paraId="54DE73A6" w14:textId="77777777" w:rsidR="001C37E4" w:rsidRPr="001C37E4" w:rsidRDefault="001C37E4" w:rsidP="001C37E4">
            <w:pPr>
              <w:spacing w:after="0" w:line="240" w:lineRule="auto"/>
              <w:jc w:val="left"/>
              <w:rPr>
                <w:rFonts w:ascii="Arial" w:eastAsia="Times New Roman" w:hAnsi="Arial"/>
                <w:b/>
                <w:color w:val="000000"/>
                <w:sz w:val="16"/>
                <w:szCs w:val="16"/>
              </w:rPr>
            </w:pPr>
          </w:p>
        </w:tc>
      </w:tr>
      <w:tr w:rsidR="001C37E4" w:rsidRPr="001C37E4" w14:paraId="1AF50110" w14:textId="77777777" w:rsidTr="00EC53DB">
        <w:trPr>
          <w:trHeight w:val="269"/>
        </w:trPr>
        <w:tc>
          <w:tcPr>
            <w:tcW w:w="1129" w:type="dxa"/>
            <w:vMerge w:val="restart"/>
            <w:shd w:val="clear" w:color="auto" w:fill="auto"/>
            <w:tcMar>
              <w:top w:w="15" w:type="dxa"/>
              <w:left w:w="15" w:type="dxa"/>
              <w:bottom w:w="0" w:type="dxa"/>
              <w:right w:w="15" w:type="dxa"/>
            </w:tcMar>
            <w:vAlign w:val="center"/>
            <w:hideMark/>
          </w:tcPr>
          <w:p w14:paraId="3EDD987D"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Left ventricle ejection fraction, %</w:t>
            </w:r>
          </w:p>
        </w:tc>
        <w:tc>
          <w:tcPr>
            <w:tcW w:w="846" w:type="dxa"/>
            <w:shd w:val="clear" w:color="auto" w:fill="auto"/>
            <w:tcMar>
              <w:top w:w="15" w:type="dxa"/>
              <w:left w:w="15" w:type="dxa"/>
              <w:bottom w:w="0" w:type="dxa"/>
              <w:right w:w="15" w:type="dxa"/>
            </w:tcMar>
            <w:vAlign w:val="center"/>
            <w:hideMark/>
          </w:tcPr>
          <w:p w14:paraId="562FCFA5"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mean (SD)</w:t>
            </w:r>
          </w:p>
        </w:tc>
        <w:tc>
          <w:tcPr>
            <w:tcW w:w="1530" w:type="dxa"/>
            <w:shd w:val="clear" w:color="auto" w:fill="auto"/>
            <w:tcMar>
              <w:top w:w="15" w:type="dxa"/>
              <w:left w:w="15" w:type="dxa"/>
              <w:bottom w:w="0" w:type="dxa"/>
              <w:right w:w="15" w:type="dxa"/>
            </w:tcMar>
            <w:vAlign w:val="center"/>
            <w:hideMark/>
          </w:tcPr>
          <w:p w14:paraId="033DDDC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59.69 (7.00)</w:t>
            </w:r>
          </w:p>
        </w:tc>
        <w:tc>
          <w:tcPr>
            <w:tcW w:w="1530" w:type="dxa"/>
            <w:shd w:val="clear" w:color="auto" w:fill="auto"/>
            <w:tcMar>
              <w:top w:w="15" w:type="dxa"/>
              <w:left w:w="15" w:type="dxa"/>
              <w:bottom w:w="0" w:type="dxa"/>
              <w:right w:w="15" w:type="dxa"/>
            </w:tcMar>
            <w:vAlign w:val="center"/>
            <w:hideMark/>
          </w:tcPr>
          <w:p w14:paraId="7772309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60.05 (7.28)</w:t>
            </w:r>
          </w:p>
        </w:tc>
        <w:tc>
          <w:tcPr>
            <w:tcW w:w="720" w:type="dxa"/>
            <w:vMerge w:val="restart"/>
            <w:shd w:val="clear" w:color="auto" w:fill="auto"/>
            <w:tcMar>
              <w:top w:w="15" w:type="dxa"/>
              <w:left w:w="15" w:type="dxa"/>
              <w:bottom w:w="0" w:type="dxa"/>
              <w:right w:w="15" w:type="dxa"/>
            </w:tcMar>
            <w:vAlign w:val="center"/>
            <w:hideMark/>
          </w:tcPr>
          <w:p w14:paraId="72C04457"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0.050</w:t>
            </w:r>
          </w:p>
        </w:tc>
        <w:tc>
          <w:tcPr>
            <w:tcW w:w="1620" w:type="dxa"/>
            <w:shd w:val="clear" w:color="auto" w:fill="auto"/>
            <w:tcMar>
              <w:top w:w="15" w:type="dxa"/>
              <w:left w:w="15" w:type="dxa"/>
              <w:bottom w:w="0" w:type="dxa"/>
              <w:right w:w="15" w:type="dxa"/>
            </w:tcMar>
            <w:vAlign w:val="center"/>
            <w:hideMark/>
          </w:tcPr>
          <w:p w14:paraId="550AA2D5"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60.26 (7.96)</w:t>
            </w:r>
          </w:p>
        </w:tc>
        <w:tc>
          <w:tcPr>
            <w:tcW w:w="720" w:type="dxa"/>
            <w:vMerge w:val="restart"/>
            <w:shd w:val="clear" w:color="auto" w:fill="auto"/>
            <w:tcMar>
              <w:top w:w="15" w:type="dxa"/>
              <w:left w:w="15" w:type="dxa"/>
              <w:bottom w:w="0" w:type="dxa"/>
              <w:right w:w="15" w:type="dxa"/>
            </w:tcMar>
            <w:vAlign w:val="center"/>
            <w:hideMark/>
          </w:tcPr>
          <w:p w14:paraId="1415AE82"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0.076</w:t>
            </w:r>
          </w:p>
        </w:tc>
        <w:tc>
          <w:tcPr>
            <w:tcW w:w="1500" w:type="dxa"/>
            <w:shd w:val="clear" w:color="auto" w:fill="auto"/>
            <w:tcMar>
              <w:top w:w="15" w:type="dxa"/>
              <w:left w:w="15" w:type="dxa"/>
              <w:bottom w:w="0" w:type="dxa"/>
              <w:right w:w="15" w:type="dxa"/>
            </w:tcMar>
            <w:vAlign w:val="center"/>
            <w:hideMark/>
          </w:tcPr>
          <w:p w14:paraId="1ED45EA3"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59.89 (6.74)</w:t>
            </w:r>
          </w:p>
        </w:tc>
        <w:tc>
          <w:tcPr>
            <w:tcW w:w="693" w:type="dxa"/>
            <w:vMerge w:val="restart"/>
            <w:shd w:val="clear" w:color="auto" w:fill="auto"/>
            <w:tcMar>
              <w:top w:w="15" w:type="dxa"/>
              <w:left w:w="15" w:type="dxa"/>
              <w:bottom w:w="0" w:type="dxa"/>
              <w:right w:w="15" w:type="dxa"/>
            </w:tcMar>
            <w:vAlign w:val="center"/>
            <w:hideMark/>
          </w:tcPr>
          <w:p w14:paraId="543F4989"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0.028</w:t>
            </w:r>
          </w:p>
        </w:tc>
      </w:tr>
      <w:tr w:rsidR="001C37E4" w:rsidRPr="001C37E4" w14:paraId="5B815003" w14:textId="77777777" w:rsidTr="00EC53DB">
        <w:trPr>
          <w:trHeight w:val="269"/>
        </w:trPr>
        <w:tc>
          <w:tcPr>
            <w:tcW w:w="1129" w:type="dxa"/>
            <w:vMerge/>
            <w:vAlign w:val="center"/>
            <w:hideMark/>
          </w:tcPr>
          <w:p w14:paraId="443672B1" w14:textId="77777777" w:rsidR="001C37E4" w:rsidRPr="001C37E4" w:rsidRDefault="001C37E4" w:rsidP="001C37E4">
            <w:pPr>
              <w:spacing w:after="0" w:line="240" w:lineRule="auto"/>
              <w:jc w:val="left"/>
              <w:rPr>
                <w:rFonts w:ascii="Arial" w:eastAsia="Times New Roman" w:hAnsi="Arial"/>
                <w:sz w:val="16"/>
                <w:szCs w:val="16"/>
              </w:rPr>
            </w:pPr>
          </w:p>
        </w:tc>
        <w:tc>
          <w:tcPr>
            <w:tcW w:w="846" w:type="dxa"/>
            <w:shd w:val="clear" w:color="auto" w:fill="auto"/>
            <w:tcMar>
              <w:top w:w="15" w:type="dxa"/>
              <w:left w:w="15" w:type="dxa"/>
              <w:bottom w:w="0" w:type="dxa"/>
              <w:right w:w="15" w:type="dxa"/>
            </w:tcMar>
            <w:vAlign w:val="center"/>
            <w:hideMark/>
          </w:tcPr>
          <w:p w14:paraId="77DACCC2"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median [IQR]</w:t>
            </w:r>
          </w:p>
        </w:tc>
        <w:tc>
          <w:tcPr>
            <w:tcW w:w="1530" w:type="dxa"/>
            <w:shd w:val="clear" w:color="auto" w:fill="auto"/>
            <w:tcMar>
              <w:top w:w="15" w:type="dxa"/>
              <w:left w:w="15" w:type="dxa"/>
              <w:bottom w:w="0" w:type="dxa"/>
              <w:right w:w="15" w:type="dxa"/>
            </w:tcMar>
            <w:vAlign w:val="center"/>
            <w:hideMark/>
          </w:tcPr>
          <w:p w14:paraId="1FEE343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60.00 [55.00, 65.00]</w:t>
            </w:r>
          </w:p>
        </w:tc>
        <w:tc>
          <w:tcPr>
            <w:tcW w:w="1530" w:type="dxa"/>
            <w:shd w:val="clear" w:color="auto" w:fill="auto"/>
            <w:tcMar>
              <w:top w:w="15" w:type="dxa"/>
              <w:left w:w="15" w:type="dxa"/>
              <w:bottom w:w="0" w:type="dxa"/>
              <w:right w:w="15" w:type="dxa"/>
            </w:tcMar>
            <w:vAlign w:val="center"/>
            <w:hideMark/>
          </w:tcPr>
          <w:p w14:paraId="10565164"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60.00 [55.00, 65.00]</w:t>
            </w:r>
          </w:p>
        </w:tc>
        <w:tc>
          <w:tcPr>
            <w:tcW w:w="720" w:type="dxa"/>
            <w:vMerge/>
            <w:vAlign w:val="center"/>
            <w:hideMark/>
          </w:tcPr>
          <w:p w14:paraId="5A7D2545"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620" w:type="dxa"/>
            <w:shd w:val="clear" w:color="auto" w:fill="auto"/>
            <w:tcMar>
              <w:top w:w="15" w:type="dxa"/>
              <w:left w:w="15" w:type="dxa"/>
              <w:bottom w:w="0" w:type="dxa"/>
              <w:right w:w="15" w:type="dxa"/>
            </w:tcMar>
            <w:vAlign w:val="center"/>
            <w:hideMark/>
          </w:tcPr>
          <w:p w14:paraId="0E0BADE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60.00 [55.00, 65.00]</w:t>
            </w:r>
          </w:p>
        </w:tc>
        <w:tc>
          <w:tcPr>
            <w:tcW w:w="720" w:type="dxa"/>
            <w:vMerge/>
            <w:vAlign w:val="center"/>
            <w:hideMark/>
          </w:tcPr>
          <w:p w14:paraId="711AFE42"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500" w:type="dxa"/>
            <w:shd w:val="clear" w:color="auto" w:fill="auto"/>
            <w:tcMar>
              <w:top w:w="15" w:type="dxa"/>
              <w:left w:w="15" w:type="dxa"/>
              <w:bottom w:w="0" w:type="dxa"/>
              <w:right w:w="15" w:type="dxa"/>
            </w:tcMar>
            <w:vAlign w:val="center"/>
            <w:hideMark/>
          </w:tcPr>
          <w:p w14:paraId="3399228A"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60.00 [55.00, 65.00]</w:t>
            </w:r>
          </w:p>
        </w:tc>
        <w:tc>
          <w:tcPr>
            <w:tcW w:w="693" w:type="dxa"/>
            <w:vMerge/>
            <w:vAlign w:val="center"/>
            <w:hideMark/>
          </w:tcPr>
          <w:p w14:paraId="14CEC5A7" w14:textId="77777777" w:rsidR="001C37E4" w:rsidRPr="001C37E4" w:rsidRDefault="001C37E4" w:rsidP="001C37E4">
            <w:pPr>
              <w:spacing w:after="0" w:line="240" w:lineRule="auto"/>
              <w:jc w:val="left"/>
              <w:rPr>
                <w:rFonts w:ascii="Arial" w:eastAsia="Times New Roman" w:hAnsi="Arial"/>
                <w:b/>
                <w:color w:val="00B050"/>
                <w:sz w:val="16"/>
                <w:szCs w:val="16"/>
              </w:rPr>
            </w:pPr>
          </w:p>
        </w:tc>
      </w:tr>
      <w:tr w:rsidR="001C37E4" w:rsidRPr="001C37E4" w14:paraId="1F159591" w14:textId="77777777" w:rsidTr="00EC53DB">
        <w:trPr>
          <w:trHeight w:val="269"/>
        </w:trPr>
        <w:tc>
          <w:tcPr>
            <w:tcW w:w="1129" w:type="dxa"/>
            <w:vMerge/>
            <w:vAlign w:val="center"/>
            <w:hideMark/>
          </w:tcPr>
          <w:p w14:paraId="0AE773B6" w14:textId="77777777" w:rsidR="001C37E4" w:rsidRPr="001C37E4" w:rsidRDefault="001C37E4" w:rsidP="001C37E4">
            <w:pPr>
              <w:spacing w:after="0" w:line="240" w:lineRule="auto"/>
              <w:jc w:val="left"/>
              <w:rPr>
                <w:rFonts w:ascii="Arial" w:eastAsia="Times New Roman" w:hAnsi="Arial"/>
                <w:sz w:val="16"/>
                <w:szCs w:val="16"/>
              </w:rPr>
            </w:pPr>
          </w:p>
        </w:tc>
        <w:tc>
          <w:tcPr>
            <w:tcW w:w="846" w:type="dxa"/>
            <w:shd w:val="clear" w:color="auto" w:fill="auto"/>
            <w:tcMar>
              <w:top w:w="15" w:type="dxa"/>
              <w:left w:w="15" w:type="dxa"/>
              <w:bottom w:w="0" w:type="dxa"/>
              <w:right w:w="15" w:type="dxa"/>
            </w:tcMar>
            <w:vAlign w:val="center"/>
            <w:hideMark/>
          </w:tcPr>
          <w:p w14:paraId="6C4EC0D1"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median [range]</w:t>
            </w:r>
          </w:p>
        </w:tc>
        <w:tc>
          <w:tcPr>
            <w:tcW w:w="1530" w:type="dxa"/>
            <w:shd w:val="clear" w:color="auto" w:fill="auto"/>
            <w:tcMar>
              <w:top w:w="15" w:type="dxa"/>
              <w:left w:w="15" w:type="dxa"/>
              <w:bottom w:w="0" w:type="dxa"/>
              <w:right w:w="15" w:type="dxa"/>
            </w:tcMar>
            <w:vAlign w:val="center"/>
            <w:hideMark/>
          </w:tcPr>
          <w:p w14:paraId="2447F881"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60.00 [40.00, 75.00]</w:t>
            </w:r>
          </w:p>
        </w:tc>
        <w:tc>
          <w:tcPr>
            <w:tcW w:w="1530" w:type="dxa"/>
            <w:shd w:val="clear" w:color="auto" w:fill="auto"/>
            <w:tcMar>
              <w:top w:w="15" w:type="dxa"/>
              <w:left w:w="15" w:type="dxa"/>
              <w:bottom w:w="0" w:type="dxa"/>
              <w:right w:w="15" w:type="dxa"/>
            </w:tcMar>
            <w:vAlign w:val="center"/>
            <w:hideMark/>
          </w:tcPr>
          <w:p w14:paraId="781539F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60.00 [40.00, 85.00]</w:t>
            </w:r>
          </w:p>
        </w:tc>
        <w:tc>
          <w:tcPr>
            <w:tcW w:w="720" w:type="dxa"/>
            <w:vMerge/>
            <w:vAlign w:val="center"/>
            <w:hideMark/>
          </w:tcPr>
          <w:p w14:paraId="615D8F0C"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620" w:type="dxa"/>
            <w:shd w:val="clear" w:color="auto" w:fill="auto"/>
            <w:tcMar>
              <w:top w:w="15" w:type="dxa"/>
              <w:left w:w="15" w:type="dxa"/>
              <w:bottom w:w="0" w:type="dxa"/>
              <w:right w:w="15" w:type="dxa"/>
            </w:tcMar>
            <w:vAlign w:val="center"/>
            <w:hideMark/>
          </w:tcPr>
          <w:p w14:paraId="5D45A2C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60.00 [40.00, 84.00]</w:t>
            </w:r>
          </w:p>
        </w:tc>
        <w:tc>
          <w:tcPr>
            <w:tcW w:w="720" w:type="dxa"/>
            <w:vMerge/>
            <w:vAlign w:val="center"/>
            <w:hideMark/>
          </w:tcPr>
          <w:p w14:paraId="5382FAA5"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500" w:type="dxa"/>
            <w:shd w:val="clear" w:color="auto" w:fill="auto"/>
            <w:tcMar>
              <w:top w:w="15" w:type="dxa"/>
              <w:left w:w="15" w:type="dxa"/>
              <w:bottom w:w="0" w:type="dxa"/>
              <w:right w:w="15" w:type="dxa"/>
            </w:tcMar>
            <w:vAlign w:val="center"/>
            <w:hideMark/>
          </w:tcPr>
          <w:p w14:paraId="62D66EEB"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60.00 [40.00, 85.00]</w:t>
            </w:r>
          </w:p>
        </w:tc>
        <w:tc>
          <w:tcPr>
            <w:tcW w:w="693" w:type="dxa"/>
            <w:vMerge/>
            <w:vAlign w:val="center"/>
            <w:hideMark/>
          </w:tcPr>
          <w:p w14:paraId="576A2B8D" w14:textId="77777777" w:rsidR="001C37E4" w:rsidRPr="001C37E4" w:rsidRDefault="001C37E4" w:rsidP="001C37E4">
            <w:pPr>
              <w:spacing w:after="0" w:line="240" w:lineRule="auto"/>
              <w:jc w:val="left"/>
              <w:rPr>
                <w:rFonts w:ascii="Arial" w:eastAsia="Times New Roman" w:hAnsi="Arial"/>
                <w:b/>
                <w:color w:val="00B050"/>
                <w:sz w:val="16"/>
                <w:szCs w:val="16"/>
              </w:rPr>
            </w:pPr>
          </w:p>
        </w:tc>
      </w:tr>
      <w:tr w:rsidR="001C37E4" w:rsidRPr="001C37E4" w14:paraId="64757DC4" w14:textId="77777777" w:rsidTr="00EC53DB">
        <w:trPr>
          <w:trHeight w:val="269"/>
        </w:trPr>
        <w:tc>
          <w:tcPr>
            <w:tcW w:w="1129" w:type="dxa"/>
            <w:vMerge w:val="restart"/>
            <w:shd w:val="clear" w:color="auto" w:fill="auto"/>
            <w:tcMar>
              <w:top w:w="15" w:type="dxa"/>
              <w:left w:w="15" w:type="dxa"/>
              <w:bottom w:w="0" w:type="dxa"/>
              <w:right w:w="15" w:type="dxa"/>
            </w:tcMar>
            <w:vAlign w:val="center"/>
            <w:hideMark/>
          </w:tcPr>
          <w:p w14:paraId="1A17B13F"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LA Diameter</w:t>
            </w:r>
          </w:p>
        </w:tc>
        <w:tc>
          <w:tcPr>
            <w:tcW w:w="846" w:type="dxa"/>
            <w:shd w:val="clear" w:color="auto" w:fill="auto"/>
            <w:tcMar>
              <w:top w:w="15" w:type="dxa"/>
              <w:left w:w="15" w:type="dxa"/>
              <w:bottom w:w="0" w:type="dxa"/>
              <w:right w:w="15" w:type="dxa"/>
            </w:tcMar>
            <w:vAlign w:val="center"/>
            <w:hideMark/>
          </w:tcPr>
          <w:p w14:paraId="19F78200"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mean (SD)</w:t>
            </w:r>
          </w:p>
        </w:tc>
        <w:tc>
          <w:tcPr>
            <w:tcW w:w="1530" w:type="dxa"/>
            <w:shd w:val="clear" w:color="auto" w:fill="auto"/>
            <w:tcMar>
              <w:top w:w="15" w:type="dxa"/>
              <w:left w:w="15" w:type="dxa"/>
              <w:bottom w:w="0" w:type="dxa"/>
              <w:right w:w="15" w:type="dxa"/>
            </w:tcMar>
            <w:vAlign w:val="center"/>
            <w:hideMark/>
          </w:tcPr>
          <w:p w14:paraId="4742F1B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38.19 (5.93)</w:t>
            </w:r>
          </w:p>
        </w:tc>
        <w:tc>
          <w:tcPr>
            <w:tcW w:w="1530" w:type="dxa"/>
            <w:shd w:val="clear" w:color="auto" w:fill="auto"/>
            <w:tcMar>
              <w:top w:w="15" w:type="dxa"/>
              <w:left w:w="15" w:type="dxa"/>
              <w:bottom w:w="0" w:type="dxa"/>
              <w:right w:w="15" w:type="dxa"/>
            </w:tcMar>
            <w:vAlign w:val="center"/>
            <w:hideMark/>
          </w:tcPr>
          <w:p w14:paraId="6E410B9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38.66 (5.76)</w:t>
            </w:r>
          </w:p>
        </w:tc>
        <w:tc>
          <w:tcPr>
            <w:tcW w:w="720" w:type="dxa"/>
            <w:vMerge w:val="restart"/>
            <w:shd w:val="clear" w:color="auto" w:fill="auto"/>
            <w:tcMar>
              <w:top w:w="15" w:type="dxa"/>
              <w:left w:w="15" w:type="dxa"/>
              <w:bottom w:w="0" w:type="dxa"/>
              <w:right w:w="15" w:type="dxa"/>
            </w:tcMar>
            <w:vAlign w:val="center"/>
            <w:hideMark/>
          </w:tcPr>
          <w:p w14:paraId="5067A76E"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0.081</w:t>
            </w:r>
          </w:p>
        </w:tc>
        <w:tc>
          <w:tcPr>
            <w:tcW w:w="1620" w:type="dxa"/>
            <w:shd w:val="clear" w:color="auto" w:fill="auto"/>
            <w:tcMar>
              <w:top w:w="15" w:type="dxa"/>
              <w:left w:w="15" w:type="dxa"/>
              <w:bottom w:w="0" w:type="dxa"/>
              <w:right w:w="15" w:type="dxa"/>
            </w:tcMar>
            <w:vAlign w:val="center"/>
            <w:hideMark/>
          </w:tcPr>
          <w:p w14:paraId="338F0AB1"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38.39 (5.61)</w:t>
            </w:r>
          </w:p>
        </w:tc>
        <w:tc>
          <w:tcPr>
            <w:tcW w:w="720" w:type="dxa"/>
            <w:vMerge w:val="restart"/>
            <w:shd w:val="clear" w:color="auto" w:fill="auto"/>
            <w:tcMar>
              <w:top w:w="15" w:type="dxa"/>
              <w:left w:w="15" w:type="dxa"/>
              <w:bottom w:w="0" w:type="dxa"/>
              <w:right w:w="15" w:type="dxa"/>
            </w:tcMar>
            <w:vAlign w:val="center"/>
            <w:hideMark/>
          </w:tcPr>
          <w:p w14:paraId="1199F914"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00B050"/>
                <w:sz w:val="16"/>
                <w:szCs w:val="16"/>
              </w:rPr>
              <w:t>0.035</w:t>
            </w:r>
          </w:p>
        </w:tc>
        <w:tc>
          <w:tcPr>
            <w:tcW w:w="1500" w:type="dxa"/>
            <w:shd w:val="clear" w:color="auto" w:fill="auto"/>
            <w:tcMar>
              <w:top w:w="15" w:type="dxa"/>
              <w:left w:w="15" w:type="dxa"/>
              <w:bottom w:w="0" w:type="dxa"/>
              <w:right w:w="15" w:type="dxa"/>
            </w:tcMar>
            <w:vAlign w:val="center"/>
            <w:hideMark/>
          </w:tcPr>
          <w:p w14:paraId="5AF52066"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38.86 (5.87)</w:t>
            </w:r>
          </w:p>
        </w:tc>
        <w:tc>
          <w:tcPr>
            <w:tcW w:w="693" w:type="dxa"/>
            <w:vMerge w:val="restart"/>
            <w:shd w:val="clear" w:color="auto" w:fill="auto"/>
            <w:tcMar>
              <w:top w:w="15" w:type="dxa"/>
              <w:left w:w="15" w:type="dxa"/>
              <w:bottom w:w="0" w:type="dxa"/>
              <w:right w:w="15" w:type="dxa"/>
            </w:tcMar>
            <w:vAlign w:val="center"/>
            <w:hideMark/>
          </w:tcPr>
          <w:p w14:paraId="08E8C25F"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ED8B00"/>
                <w:sz w:val="16"/>
                <w:szCs w:val="16"/>
              </w:rPr>
              <w:t>0.114</w:t>
            </w:r>
          </w:p>
        </w:tc>
      </w:tr>
      <w:tr w:rsidR="001C37E4" w:rsidRPr="001C37E4" w14:paraId="3A92B43A" w14:textId="77777777" w:rsidTr="00EC53DB">
        <w:trPr>
          <w:trHeight w:val="269"/>
        </w:trPr>
        <w:tc>
          <w:tcPr>
            <w:tcW w:w="1129" w:type="dxa"/>
            <w:vMerge/>
            <w:vAlign w:val="center"/>
            <w:hideMark/>
          </w:tcPr>
          <w:p w14:paraId="0A66BE72" w14:textId="77777777" w:rsidR="001C37E4" w:rsidRPr="001C37E4" w:rsidRDefault="001C37E4" w:rsidP="001C37E4">
            <w:pPr>
              <w:spacing w:after="0" w:line="240" w:lineRule="auto"/>
              <w:jc w:val="left"/>
              <w:rPr>
                <w:rFonts w:ascii="Arial" w:eastAsia="Times New Roman" w:hAnsi="Arial"/>
                <w:sz w:val="16"/>
                <w:szCs w:val="16"/>
              </w:rPr>
            </w:pPr>
          </w:p>
        </w:tc>
        <w:tc>
          <w:tcPr>
            <w:tcW w:w="846" w:type="dxa"/>
            <w:shd w:val="clear" w:color="auto" w:fill="auto"/>
            <w:tcMar>
              <w:top w:w="15" w:type="dxa"/>
              <w:left w:w="15" w:type="dxa"/>
              <w:bottom w:w="0" w:type="dxa"/>
              <w:right w:w="15" w:type="dxa"/>
            </w:tcMar>
            <w:vAlign w:val="center"/>
            <w:hideMark/>
          </w:tcPr>
          <w:p w14:paraId="22A4C0A8"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median [IQR]</w:t>
            </w:r>
          </w:p>
        </w:tc>
        <w:tc>
          <w:tcPr>
            <w:tcW w:w="1530" w:type="dxa"/>
            <w:shd w:val="clear" w:color="auto" w:fill="auto"/>
            <w:tcMar>
              <w:top w:w="15" w:type="dxa"/>
              <w:left w:w="15" w:type="dxa"/>
              <w:bottom w:w="0" w:type="dxa"/>
              <w:right w:w="15" w:type="dxa"/>
            </w:tcMar>
            <w:vAlign w:val="center"/>
            <w:hideMark/>
          </w:tcPr>
          <w:p w14:paraId="257FAB1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38.00 [34.00, 42.00]</w:t>
            </w:r>
          </w:p>
        </w:tc>
        <w:tc>
          <w:tcPr>
            <w:tcW w:w="1530" w:type="dxa"/>
            <w:shd w:val="clear" w:color="auto" w:fill="auto"/>
            <w:tcMar>
              <w:top w:w="15" w:type="dxa"/>
              <w:left w:w="15" w:type="dxa"/>
              <w:bottom w:w="0" w:type="dxa"/>
              <w:right w:w="15" w:type="dxa"/>
            </w:tcMar>
            <w:vAlign w:val="center"/>
            <w:hideMark/>
          </w:tcPr>
          <w:p w14:paraId="2DD2BAA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39.00 [35.00, 43.00]</w:t>
            </w:r>
          </w:p>
        </w:tc>
        <w:tc>
          <w:tcPr>
            <w:tcW w:w="720" w:type="dxa"/>
            <w:vMerge/>
            <w:vAlign w:val="center"/>
            <w:hideMark/>
          </w:tcPr>
          <w:p w14:paraId="084FDF88"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620" w:type="dxa"/>
            <w:shd w:val="clear" w:color="auto" w:fill="auto"/>
            <w:tcMar>
              <w:top w:w="15" w:type="dxa"/>
              <w:left w:w="15" w:type="dxa"/>
              <w:bottom w:w="0" w:type="dxa"/>
              <w:right w:w="15" w:type="dxa"/>
            </w:tcMar>
            <w:vAlign w:val="center"/>
            <w:hideMark/>
          </w:tcPr>
          <w:p w14:paraId="7B3F1AB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38.00 [34.75, 43.00]</w:t>
            </w:r>
          </w:p>
        </w:tc>
        <w:tc>
          <w:tcPr>
            <w:tcW w:w="720" w:type="dxa"/>
            <w:vMerge/>
            <w:vAlign w:val="center"/>
            <w:hideMark/>
          </w:tcPr>
          <w:p w14:paraId="3EF145DC"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500" w:type="dxa"/>
            <w:shd w:val="clear" w:color="auto" w:fill="auto"/>
            <w:tcMar>
              <w:top w:w="15" w:type="dxa"/>
              <w:left w:w="15" w:type="dxa"/>
              <w:bottom w:w="0" w:type="dxa"/>
              <w:right w:w="15" w:type="dxa"/>
            </w:tcMar>
            <w:vAlign w:val="center"/>
            <w:hideMark/>
          </w:tcPr>
          <w:p w14:paraId="4911DF2A"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39.00 [35.00, 43.00]</w:t>
            </w:r>
          </w:p>
        </w:tc>
        <w:tc>
          <w:tcPr>
            <w:tcW w:w="693" w:type="dxa"/>
            <w:vMerge/>
            <w:vAlign w:val="center"/>
            <w:hideMark/>
          </w:tcPr>
          <w:p w14:paraId="4DAB2AB8" w14:textId="77777777" w:rsidR="001C37E4" w:rsidRPr="001C37E4" w:rsidRDefault="001C37E4" w:rsidP="001C37E4">
            <w:pPr>
              <w:spacing w:after="0" w:line="240" w:lineRule="auto"/>
              <w:jc w:val="left"/>
              <w:rPr>
                <w:rFonts w:ascii="Arial" w:eastAsia="Times New Roman" w:hAnsi="Arial"/>
                <w:b/>
                <w:color w:val="000000"/>
                <w:sz w:val="16"/>
                <w:szCs w:val="16"/>
              </w:rPr>
            </w:pPr>
          </w:p>
        </w:tc>
      </w:tr>
      <w:tr w:rsidR="001C37E4" w:rsidRPr="001C37E4" w14:paraId="445FA804" w14:textId="77777777" w:rsidTr="00EC53DB">
        <w:trPr>
          <w:trHeight w:val="269"/>
        </w:trPr>
        <w:tc>
          <w:tcPr>
            <w:tcW w:w="1129" w:type="dxa"/>
            <w:vMerge/>
            <w:vAlign w:val="center"/>
            <w:hideMark/>
          </w:tcPr>
          <w:p w14:paraId="2918F7AD" w14:textId="77777777" w:rsidR="001C37E4" w:rsidRPr="001C37E4" w:rsidRDefault="001C37E4" w:rsidP="001C37E4">
            <w:pPr>
              <w:spacing w:after="0" w:line="240" w:lineRule="auto"/>
              <w:jc w:val="left"/>
              <w:rPr>
                <w:rFonts w:ascii="Arial" w:eastAsia="Times New Roman" w:hAnsi="Arial"/>
                <w:sz w:val="16"/>
                <w:szCs w:val="16"/>
              </w:rPr>
            </w:pPr>
          </w:p>
        </w:tc>
        <w:tc>
          <w:tcPr>
            <w:tcW w:w="846" w:type="dxa"/>
            <w:shd w:val="clear" w:color="auto" w:fill="auto"/>
            <w:tcMar>
              <w:top w:w="15" w:type="dxa"/>
              <w:left w:w="15" w:type="dxa"/>
              <w:bottom w:w="0" w:type="dxa"/>
              <w:right w:w="15" w:type="dxa"/>
            </w:tcMar>
            <w:vAlign w:val="center"/>
            <w:hideMark/>
          </w:tcPr>
          <w:p w14:paraId="3DE28330"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median [range]</w:t>
            </w:r>
          </w:p>
        </w:tc>
        <w:tc>
          <w:tcPr>
            <w:tcW w:w="1530" w:type="dxa"/>
            <w:shd w:val="clear" w:color="auto" w:fill="auto"/>
            <w:tcMar>
              <w:top w:w="15" w:type="dxa"/>
              <w:left w:w="15" w:type="dxa"/>
              <w:bottom w:w="0" w:type="dxa"/>
              <w:right w:w="15" w:type="dxa"/>
            </w:tcMar>
            <w:vAlign w:val="center"/>
            <w:hideMark/>
          </w:tcPr>
          <w:p w14:paraId="35CF8C0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38.00 [20.00, 50.00]</w:t>
            </w:r>
          </w:p>
        </w:tc>
        <w:tc>
          <w:tcPr>
            <w:tcW w:w="1530" w:type="dxa"/>
            <w:shd w:val="clear" w:color="auto" w:fill="auto"/>
            <w:tcMar>
              <w:top w:w="15" w:type="dxa"/>
              <w:left w:w="15" w:type="dxa"/>
              <w:bottom w:w="0" w:type="dxa"/>
              <w:right w:w="15" w:type="dxa"/>
            </w:tcMar>
            <w:vAlign w:val="center"/>
            <w:hideMark/>
          </w:tcPr>
          <w:p w14:paraId="763B95D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39.00 [22.00, 50.00]</w:t>
            </w:r>
          </w:p>
        </w:tc>
        <w:tc>
          <w:tcPr>
            <w:tcW w:w="720" w:type="dxa"/>
            <w:vMerge/>
            <w:vAlign w:val="center"/>
            <w:hideMark/>
          </w:tcPr>
          <w:p w14:paraId="66F18817"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620" w:type="dxa"/>
            <w:shd w:val="clear" w:color="auto" w:fill="auto"/>
            <w:tcMar>
              <w:top w:w="15" w:type="dxa"/>
              <w:left w:w="15" w:type="dxa"/>
              <w:bottom w:w="0" w:type="dxa"/>
              <w:right w:w="15" w:type="dxa"/>
            </w:tcMar>
            <w:vAlign w:val="center"/>
            <w:hideMark/>
          </w:tcPr>
          <w:p w14:paraId="5AFED2C4"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38.00 [26.00, 50.00]</w:t>
            </w:r>
          </w:p>
        </w:tc>
        <w:tc>
          <w:tcPr>
            <w:tcW w:w="720" w:type="dxa"/>
            <w:vMerge/>
            <w:vAlign w:val="center"/>
            <w:hideMark/>
          </w:tcPr>
          <w:p w14:paraId="7CE87F11"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500" w:type="dxa"/>
            <w:shd w:val="clear" w:color="auto" w:fill="auto"/>
            <w:tcMar>
              <w:top w:w="15" w:type="dxa"/>
              <w:left w:w="15" w:type="dxa"/>
              <w:bottom w:w="0" w:type="dxa"/>
              <w:right w:w="15" w:type="dxa"/>
            </w:tcMar>
            <w:vAlign w:val="center"/>
            <w:hideMark/>
          </w:tcPr>
          <w:p w14:paraId="7E5FB585"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39.00 [22.00, 50.00]</w:t>
            </w:r>
          </w:p>
        </w:tc>
        <w:tc>
          <w:tcPr>
            <w:tcW w:w="693" w:type="dxa"/>
            <w:vMerge/>
            <w:vAlign w:val="center"/>
            <w:hideMark/>
          </w:tcPr>
          <w:p w14:paraId="38C3A362" w14:textId="77777777" w:rsidR="001C37E4" w:rsidRPr="001C37E4" w:rsidRDefault="001C37E4" w:rsidP="001C37E4">
            <w:pPr>
              <w:spacing w:after="0" w:line="240" w:lineRule="auto"/>
              <w:jc w:val="left"/>
              <w:rPr>
                <w:rFonts w:ascii="Arial" w:eastAsia="Times New Roman" w:hAnsi="Arial"/>
                <w:b/>
                <w:color w:val="000000"/>
                <w:sz w:val="16"/>
                <w:szCs w:val="16"/>
              </w:rPr>
            </w:pPr>
          </w:p>
        </w:tc>
      </w:tr>
      <w:tr w:rsidR="001C37E4" w:rsidRPr="001C37E4" w14:paraId="46D5F7F7" w14:textId="77777777" w:rsidTr="00EC53DB">
        <w:trPr>
          <w:trHeight w:val="269"/>
        </w:trPr>
        <w:tc>
          <w:tcPr>
            <w:tcW w:w="1129" w:type="dxa"/>
            <w:vMerge w:val="restart"/>
            <w:shd w:val="clear" w:color="auto" w:fill="auto"/>
            <w:tcMar>
              <w:top w:w="15" w:type="dxa"/>
              <w:left w:w="15" w:type="dxa"/>
              <w:bottom w:w="0" w:type="dxa"/>
              <w:right w:w="15" w:type="dxa"/>
            </w:tcMar>
            <w:vAlign w:val="center"/>
            <w:hideMark/>
          </w:tcPr>
          <w:p w14:paraId="24BD6AE3"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Duration of symptomatic AF in months</w:t>
            </w:r>
          </w:p>
        </w:tc>
        <w:tc>
          <w:tcPr>
            <w:tcW w:w="846" w:type="dxa"/>
            <w:shd w:val="clear" w:color="auto" w:fill="auto"/>
            <w:tcMar>
              <w:top w:w="15" w:type="dxa"/>
              <w:left w:w="15" w:type="dxa"/>
              <w:bottom w:w="0" w:type="dxa"/>
              <w:right w:w="15" w:type="dxa"/>
            </w:tcMar>
            <w:vAlign w:val="center"/>
            <w:hideMark/>
          </w:tcPr>
          <w:p w14:paraId="11BA3A3E"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mean (SD)</w:t>
            </w:r>
          </w:p>
        </w:tc>
        <w:tc>
          <w:tcPr>
            <w:tcW w:w="1530" w:type="dxa"/>
            <w:shd w:val="clear" w:color="auto" w:fill="auto"/>
            <w:tcMar>
              <w:top w:w="15" w:type="dxa"/>
              <w:left w:w="15" w:type="dxa"/>
              <w:bottom w:w="0" w:type="dxa"/>
              <w:right w:w="15" w:type="dxa"/>
            </w:tcMar>
            <w:vAlign w:val="center"/>
            <w:hideMark/>
          </w:tcPr>
          <w:p w14:paraId="305923B5"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51.94 (77.11)</w:t>
            </w:r>
          </w:p>
        </w:tc>
        <w:tc>
          <w:tcPr>
            <w:tcW w:w="1530" w:type="dxa"/>
            <w:shd w:val="clear" w:color="auto" w:fill="auto"/>
            <w:tcMar>
              <w:top w:w="15" w:type="dxa"/>
              <w:left w:w="15" w:type="dxa"/>
              <w:bottom w:w="0" w:type="dxa"/>
              <w:right w:w="15" w:type="dxa"/>
            </w:tcMar>
            <w:vAlign w:val="center"/>
            <w:hideMark/>
          </w:tcPr>
          <w:p w14:paraId="66BB9FA8"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54.45 (65.02)</w:t>
            </w:r>
          </w:p>
        </w:tc>
        <w:tc>
          <w:tcPr>
            <w:tcW w:w="720" w:type="dxa"/>
            <w:vMerge w:val="restart"/>
            <w:shd w:val="clear" w:color="auto" w:fill="auto"/>
            <w:tcMar>
              <w:top w:w="15" w:type="dxa"/>
              <w:left w:w="15" w:type="dxa"/>
              <w:bottom w:w="0" w:type="dxa"/>
              <w:right w:w="15" w:type="dxa"/>
            </w:tcMar>
            <w:vAlign w:val="center"/>
            <w:hideMark/>
          </w:tcPr>
          <w:p w14:paraId="46E8E61E"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0.035</w:t>
            </w:r>
          </w:p>
        </w:tc>
        <w:tc>
          <w:tcPr>
            <w:tcW w:w="1620" w:type="dxa"/>
            <w:shd w:val="clear" w:color="auto" w:fill="auto"/>
            <w:tcMar>
              <w:top w:w="15" w:type="dxa"/>
              <w:left w:w="15" w:type="dxa"/>
              <w:bottom w:w="0" w:type="dxa"/>
              <w:right w:w="15" w:type="dxa"/>
            </w:tcMar>
            <w:vAlign w:val="center"/>
            <w:hideMark/>
          </w:tcPr>
          <w:p w14:paraId="6FD0F0ED"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65.91 (65.16)</w:t>
            </w:r>
          </w:p>
        </w:tc>
        <w:tc>
          <w:tcPr>
            <w:tcW w:w="720" w:type="dxa"/>
            <w:vMerge w:val="restart"/>
            <w:shd w:val="clear" w:color="auto" w:fill="auto"/>
            <w:tcMar>
              <w:top w:w="15" w:type="dxa"/>
              <w:left w:w="15" w:type="dxa"/>
              <w:bottom w:w="0" w:type="dxa"/>
              <w:right w:w="15" w:type="dxa"/>
            </w:tcMar>
            <w:vAlign w:val="center"/>
            <w:hideMark/>
          </w:tcPr>
          <w:p w14:paraId="3DB7A0BF"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ED8B00"/>
                <w:sz w:val="16"/>
                <w:szCs w:val="16"/>
              </w:rPr>
              <w:t>0.196</w:t>
            </w:r>
          </w:p>
        </w:tc>
        <w:tc>
          <w:tcPr>
            <w:tcW w:w="1500" w:type="dxa"/>
            <w:shd w:val="clear" w:color="auto" w:fill="auto"/>
            <w:tcMar>
              <w:top w:w="15" w:type="dxa"/>
              <w:left w:w="15" w:type="dxa"/>
              <w:bottom w:w="0" w:type="dxa"/>
              <w:right w:w="15" w:type="dxa"/>
            </w:tcMar>
            <w:vAlign w:val="center"/>
            <w:hideMark/>
          </w:tcPr>
          <w:p w14:paraId="489E818C"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46.03 (63.82)</w:t>
            </w:r>
          </w:p>
        </w:tc>
        <w:tc>
          <w:tcPr>
            <w:tcW w:w="693" w:type="dxa"/>
            <w:vMerge w:val="restart"/>
            <w:shd w:val="clear" w:color="auto" w:fill="auto"/>
            <w:tcMar>
              <w:top w:w="15" w:type="dxa"/>
              <w:left w:w="15" w:type="dxa"/>
              <w:bottom w:w="0" w:type="dxa"/>
              <w:right w:w="15" w:type="dxa"/>
            </w:tcMar>
            <w:vAlign w:val="center"/>
            <w:hideMark/>
          </w:tcPr>
          <w:p w14:paraId="03DCC09D"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00B050"/>
                <w:sz w:val="16"/>
                <w:szCs w:val="16"/>
              </w:rPr>
              <w:t>0.084</w:t>
            </w:r>
          </w:p>
        </w:tc>
      </w:tr>
      <w:tr w:rsidR="001C37E4" w:rsidRPr="001C37E4" w14:paraId="3879A14E" w14:textId="77777777" w:rsidTr="00EC53DB">
        <w:trPr>
          <w:trHeight w:val="269"/>
        </w:trPr>
        <w:tc>
          <w:tcPr>
            <w:tcW w:w="1129" w:type="dxa"/>
            <w:vMerge/>
            <w:vAlign w:val="center"/>
            <w:hideMark/>
          </w:tcPr>
          <w:p w14:paraId="199689A9" w14:textId="77777777" w:rsidR="001C37E4" w:rsidRPr="001C37E4" w:rsidRDefault="001C37E4" w:rsidP="001C37E4">
            <w:pPr>
              <w:spacing w:after="0" w:line="240" w:lineRule="auto"/>
              <w:jc w:val="left"/>
              <w:rPr>
                <w:rFonts w:ascii="Arial" w:eastAsia="Times New Roman" w:hAnsi="Arial"/>
                <w:sz w:val="16"/>
                <w:szCs w:val="16"/>
              </w:rPr>
            </w:pPr>
          </w:p>
        </w:tc>
        <w:tc>
          <w:tcPr>
            <w:tcW w:w="846" w:type="dxa"/>
            <w:shd w:val="clear" w:color="auto" w:fill="auto"/>
            <w:tcMar>
              <w:top w:w="15" w:type="dxa"/>
              <w:left w:w="15" w:type="dxa"/>
              <w:bottom w:w="0" w:type="dxa"/>
              <w:right w:w="15" w:type="dxa"/>
            </w:tcMar>
            <w:vAlign w:val="center"/>
            <w:hideMark/>
          </w:tcPr>
          <w:p w14:paraId="3F2BE472"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median [IQR]</w:t>
            </w:r>
          </w:p>
        </w:tc>
        <w:tc>
          <w:tcPr>
            <w:tcW w:w="1530" w:type="dxa"/>
            <w:shd w:val="clear" w:color="auto" w:fill="auto"/>
            <w:tcMar>
              <w:top w:w="15" w:type="dxa"/>
              <w:left w:w="15" w:type="dxa"/>
              <w:bottom w:w="0" w:type="dxa"/>
              <w:right w:w="15" w:type="dxa"/>
            </w:tcMar>
            <w:vAlign w:val="center"/>
            <w:hideMark/>
          </w:tcPr>
          <w:p w14:paraId="11E7D145"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18.00 [6.00, 60.00]</w:t>
            </w:r>
          </w:p>
        </w:tc>
        <w:tc>
          <w:tcPr>
            <w:tcW w:w="1530" w:type="dxa"/>
            <w:shd w:val="clear" w:color="auto" w:fill="auto"/>
            <w:tcMar>
              <w:top w:w="15" w:type="dxa"/>
              <w:left w:w="15" w:type="dxa"/>
              <w:bottom w:w="0" w:type="dxa"/>
              <w:right w:w="15" w:type="dxa"/>
            </w:tcMar>
            <w:vAlign w:val="center"/>
            <w:hideMark/>
          </w:tcPr>
          <w:p w14:paraId="0553EE1B"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30.00 [11.00, 72.00]</w:t>
            </w:r>
          </w:p>
        </w:tc>
        <w:tc>
          <w:tcPr>
            <w:tcW w:w="720" w:type="dxa"/>
            <w:vMerge/>
            <w:vAlign w:val="center"/>
            <w:hideMark/>
          </w:tcPr>
          <w:p w14:paraId="7FE23176" w14:textId="77777777" w:rsidR="001C37E4" w:rsidRPr="001C37E4" w:rsidRDefault="001C37E4" w:rsidP="001C37E4">
            <w:pPr>
              <w:spacing w:after="0" w:line="240" w:lineRule="auto"/>
              <w:jc w:val="left"/>
              <w:rPr>
                <w:rFonts w:ascii="Arial" w:eastAsia="Times New Roman" w:hAnsi="Arial"/>
                <w:sz w:val="16"/>
                <w:szCs w:val="16"/>
              </w:rPr>
            </w:pPr>
          </w:p>
        </w:tc>
        <w:tc>
          <w:tcPr>
            <w:tcW w:w="1620" w:type="dxa"/>
            <w:shd w:val="clear" w:color="auto" w:fill="auto"/>
            <w:tcMar>
              <w:top w:w="15" w:type="dxa"/>
              <w:left w:w="15" w:type="dxa"/>
              <w:bottom w:w="0" w:type="dxa"/>
              <w:right w:w="15" w:type="dxa"/>
            </w:tcMar>
            <w:vAlign w:val="center"/>
            <w:hideMark/>
          </w:tcPr>
          <w:p w14:paraId="239069C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48.00 [18.00, 89.00]</w:t>
            </w:r>
          </w:p>
        </w:tc>
        <w:tc>
          <w:tcPr>
            <w:tcW w:w="720" w:type="dxa"/>
            <w:vMerge/>
            <w:vAlign w:val="center"/>
            <w:hideMark/>
          </w:tcPr>
          <w:p w14:paraId="76372FD7" w14:textId="77777777" w:rsidR="001C37E4" w:rsidRPr="001C37E4" w:rsidRDefault="001C37E4" w:rsidP="001C37E4">
            <w:pPr>
              <w:spacing w:after="0" w:line="240" w:lineRule="auto"/>
              <w:jc w:val="left"/>
              <w:rPr>
                <w:rFonts w:ascii="Arial" w:eastAsia="Times New Roman" w:hAnsi="Arial"/>
                <w:sz w:val="16"/>
                <w:szCs w:val="16"/>
              </w:rPr>
            </w:pPr>
          </w:p>
        </w:tc>
        <w:tc>
          <w:tcPr>
            <w:tcW w:w="1500" w:type="dxa"/>
            <w:shd w:val="clear" w:color="auto" w:fill="auto"/>
            <w:tcMar>
              <w:top w:w="15" w:type="dxa"/>
              <w:left w:w="15" w:type="dxa"/>
              <w:bottom w:w="0" w:type="dxa"/>
              <w:right w:w="15" w:type="dxa"/>
            </w:tcMar>
            <w:vAlign w:val="center"/>
            <w:hideMark/>
          </w:tcPr>
          <w:p w14:paraId="3E33338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24.00 [8.00, 60.00]</w:t>
            </w:r>
          </w:p>
        </w:tc>
        <w:tc>
          <w:tcPr>
            <w:tcW w:w="693" w:type="dxa"/>
            <w:vMerge/>
            <w:vAlign w:val="center"/>
            <w:hideMark/>
          </w:tcPr>
          <w:p w14:paraId="4D4DB084" w14:textId="77777777" w:rsidR="001C37E4" w:rsidRPr="001C37E4" w:rsidRDefault="001C37E4" w:rsidP="001C37E4">
            <w:pPr>
              <w:spacing w:after="0" w:line="240" w:lineRule="auto"/>
              <w:jc w:val="left"/>
              <w:rPr>
                <w:rFonts w:ascii="Arial" w:eastAsia="Times New Roman" w:hAnsi="Arial"/>
                <w:sz w:val="16"/>
                <w:szCs w:val="16"/>
              </w:rPr>
            </w:pPr>
          </w:p>
        </w:tc>
      </w:tr>
      <w:tr w:rsidR="001C37E4" w:rsidRPr="001C37E4" w14:paraId="3A372A69" w14:textId="77777777" w:rsidTr="00EC53DB">
        <w:trPr>
          <w:trHeight w:val="269"/>
        </w:trPr>
        <w:tc>
          <w:tcPr>
            <w:tcW w:w="1129" w:type="dxa"/>
            <w:vMerge/>
            <w:vAlign w:val="center"/>
            <w:hideMark/>
          </w:tcPr>
          <w:p w14:paraId="2D2DEFA6" w14:textId="77777777" w:rsidR="001C37E4" w:rsidRPr="001C37E4" w:rsidRDefault="001C37E4" w:rsidP="001C37E4">
            <w:pPr>
              <w:spacing w:after="0" w:line="240" w:lineRule="auto"/>
              <w:jc w:val="left"/>
              <w:rPr>
                <w:rFonts w:ascii="Arial" w:eastAsia="Times New Roman" w:hAnsi="Arial"/>
                <w:sz w:val="16"/>
                <w:szCs w:val="16"/>
              </w:rPr>
            </w:pPr>
          </w:p>
        </w:tc>
        <w:tc>
          <w:tcPr>
            <w:tcW w:w="846" w:type="dxa"/>
            <w:shd w:val="clear" w:color="auto" w:fill="auto"/>
            <w:tcMar>
              <w:top w:w="15" w:type="dxa"/>
              <w:left w:w="15" w:type="dxa"/>
              <w:bottom w:w="0" w:type="dxa"/>
              <w:right w:w="15" w:type="dxa"/>
            </w:tcMar>
            <w:vAlign w:val="center"/>
            <w:hideMark/>
          </w:tcPr>
          <w:p w14:paraId="564F83A0"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color w:val="000000"/>
                <w:sz w:val="16"/>
                <w:szCs w:val="16"/>
              </w:rPr>
              <w:t>median [range]</w:t>
            </w:r>
          </w:p>
        </w:tc>
        <w:tc>
          <w:tcPr>
            <w:tcW w:w="1530" w:type="dxa"/>
            <w:shd w:val="clear" w:color="auto" w:fill="auto"/>
            <w:tcMar>
              <w:top w:w="15" w:type="dxa"/>
              <w:left w:w="15" w:type="dxa"/>
              <w:bottom w:w="0" w:type="dxa"/>
              <w:right w:w="15" w:type="dxa"/>
            </w:tcMar>
            <w:vAlign w:val="center"/>
            <w:hideMark/>
          </w:tcPr>
          <w:p w14:paraId="4379868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18.00 [1.00, 432.00]</w:t>
            </w:r>
          </w:p>
        </w:tc>
        <w:tc>
          <w:tcPr>
            <w:tcW w:w="1530" w:type="dxa"/>
            <w:shd w:val="clear" w:color="auto" w:fill="auto"/>
            <w:tcMar>
              <w:top w:w="15" w:type="dxa"/>
              <w:left w:w="15" w:type="dxa"/>
              <w:bottom w:w="0" w:type="dxa"/>
              <w:right w:w="15" w:type="dxa"/>
            </w:tcMar>
            <w:vAlign w:val="center"/>
            <w:hideMark/>
          </w:tcPr>
          <w:p w14:paraId="282B27D0"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30.00 [2.00, 480.00]</w:t>
            </w:r>
          </w:p>
        </w:tc>
        <w:tc>
          <w:tcPr>
            <w:tcW w:w="720" w:type="dxa"/>
            <w:vMerge/>
            <w:vAlign w:val="center"/>
            <w:hideMark/>
          </w:tcPr>
          <w:p w14:paraId="1AA31B93" w14:textId="77777777" w:rsidR="001C37E4" w:rsidRPr="001C37E4" w:rsidRDefault="001C37E4" w:rsidP="001C37E4">
            <w:pPr>
              <w:spacing w:after="0" w:line="240" w:lineRule="auto"/>
              <w:jc w:val="left"/>
              <w:rPr>
                <w:rFonts w:ascii="Arial" w:eastAsia="Times New Roman" w:hAnsi="Arial"/>
                <w:sz w:val="16"/>
                <w:szCs w:val="16"/>
              </w:rPr>
            </w:pPr>
          </w:p>
        </w:tc>
        <w:tc>
          <w:tcPr>
            <w:tcW w:w="1620" w:type="dxa"/>
            <w:shd w:val="clear" w:color="auto" w:fill="auto"/>
            <w:tcMar>
              <w:top w:w="15" w:type="dxa"/>
              <w:left w:w="15" w:type="dxa"/>
              <w:bottom w:w="0" w:type="dxa"/>
              <w:right w:w="15" w:type="dxa"/>
            </w:tcMar>
            <w:vAlign w:val="center"/>
            <w:hideMark/>
          </w:tcPr>
          <w:p w14:paraId="7E65950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48.00 [2.00, 306.00]</w:t>
            </w:r>
          </w:p>
        </w:tc>
        <w:tc>
          <w:tcPr>
            <w:tcW w:w="720" w:type="dxa"/>
            <w:vMerge/>
            <w:vAlign w:val="center"/>
            <w:hideMark/>
          </w:tcPr>
          <w:p w14:paraId="1A139B25" w14:textId="77777777" w:rsidR="001C37E4" w:rsidRPr="001C37E4" w:rsidRDefault="001C37E4" w:rsidP="001C37E4">
            <w:pPr>
              <w:spacing w:after="0" w:line="240" w:lineRule="auto"/>
              <w:jc w:val="left"/>
              <w:rPr>
                <w:rFonts w:ascii="Arial" w:eastAsia="Times New Roman" w:hAnsi="Arial"/>
                <w:sz w:val="16"/>
                <w:szCs w:val="16"/>
              </w:rPr>
            </w:pPr>
          </w:p>
        </w:tc>
        <w:tc>
          <w:tcPr>
            <w:tcW w:w="1500" w:type="dxa"/>
            <w:shd w:val="clear" w:color="auto" w:fill="auto"/>
            <w:tcMar>
              <w:top w:w="15" w:type="dxa"/>
              <w:left w:w="15" w:type="dxa"/>
              <w:bottom w:w="0" w:type="dxa"/>
              <w:right w:w="15" w:type="dxa"/>
            </w:tcMar>
            <w:vAlign w:val="center"/>
            <w:hideMark/>
          </w:tcPr>
          <w:p w14:paraId="7D338D50"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color w:val="000000"/>
                <w:sz w:val="16"/>
                <w:szCs w:val="16"/>
              </w:rPr>
              <w:t>24.00 [2.00, 480.00]</w:t>
            </w:r>
          </w:p>
        </w:tc>
        <w:tc>
          <w:tcPr>
            <w:tcW w:w="693" w:type="dxa"/>
            <w:vMerge/>
            <w:vAlign w:val="center"/>
            <w:hideMark/>
          </w:tcPr>
          <w:p w14:paraId="3DC14314" w14:textId="77777777" w:rsidR="001C37E4" w:rsidRPr="001C37E4" w:rsidRDefault="001C37E4" w:rsidP="001C37E4">
            <w:pPr>
              <w:spacing w:after="0" w:line="240" w:lineRule="auto"/>
              <w:jc w:val="left"/>
              <w:rPr>
                <w:rFonts w:ascii="Arial" w:eastAsia="Times New Roman" w:hAnsi="Arial"/>
                <w:sz w:val="16"/>
                <w:szCs w:val="16"/>
              </w:rPr>
            </w:pPr>
          </w:p>
        </w:tc>
      </w:tr>
    </w:tbl>
    <w:tbl>
      <w:tblPr>
        <w:tblStyle w:val="TableGrid1"/>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9071"/>
      </w:tblGrid>
      <w:tr w:rsidR="001C37E4" w:rsidRPr="001C37E4" w14:paraId="066F74CC" w14:textId="77777777" w:rsidTr="00EC53DB">
        <w:trPr>
          <w:trHeight w:val="245"/>
        </w:trPr>
        <w:tc>
          <w:tcPr>
            <w:tcW w:w="279" w:type="dxa"/>
            <w:shd w:val="clear" w:color="auto" w:fill="00B050"/>
            <w:vAlign w:val="center"/>
          </w:tcPr>
          <w:p w14:paraId="7162D74E" w14:textId="77777777" w:rsidR="001C37E4" w:rsidRPr="001C37E4" w:rsidRDefault="001C37E4" w:rsidP="001C37E4">
            <w:pPr>
              <w:spacing w:after="0" w:line="240" w:lineRule="auto"/>
              <w:jc w:val="left"/>
              <w:rPr>
                <w:rFonts w:ascii="Times New Roman" w:hAnsi="Times New Roman"/>
                <w:sz w:val="16"/>
                <w:szCs w:val="16"/>
                <w:lang w:val="en-CA"/>
              </w:rPr>
            </w:pPr>
          </w:p>
        </w:tc>
        <w:tc>
          <w:tcPr>
            <w:tcW w:w="9071" w:type="dxa"/>
            <w:vAlign w:val="center"/>
            <w:hideMark/>
          </w:tcPr>
          <w:p w14:paraId="77EAD161"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Small Difference (SMD 0.0 to 0.1)</w:t>
            </w:r>
          </w:p>
        </w:tc>
      </w:tr>
      <w:tr w:rsidR="001C37E4" w:rsidRPr="001C37E4" w14:paraId="1BBD593D" w14:textId="77777777" w:rsidTr="00EC53DB">
        <w:trPr>
          <w:trHeight w:val="245"/>
        </w:trPr>
        <w:tc>
          <w:tcPr>
            <w:tcW w:w="279" w:type="dxa"/>
            <w:shd w:val="clear" w:color="auto" w:fill="FFC000"/>
            <w:vAlign w:val="center"/>
          </w:tcPr>
          <w:p w14:paraId="7CE061A4" w14:textId="77777777" w:rsidR="001C37E4" w:rsidRPr="001C37E4" w:rsidRDefault="001C37E4" w:rsidP="001C37E4">
            <w:pPr>
              <w:spacing w:after="0" w:line="240" w:lineRule="auto"/>
              <w:jc w:val="left"/>
              <w:rPr>
                <w:rFonts w:ascii="Times New Roman" w:hAnsi="Times New Roman"/>
                <w:sz w:val="16"/>
                <w:szCs w:val="16"/>
                <w:lang w:val="en-CA"/>
              </w:rPr>
            </w:pPr>
          </w:p>
        </w:tc>
        <w:tc>
          <w:tcPr>
            <w:tcW w:w="9071" w:type="dxa"/>
            <w:vAlign w:val="center"/>
            <w:hideMark/>
          </w:tcPr>
          <w:p w14:paraId="470EBEDF"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Moderate Difference (SMD &gt;0.1 to 0.2)</w:t>
            </w:r>
          </w:p>
        </w:tc>
      </w:tr>
      <w:tr w:rsidR="001C37E4" w:rsidRPr="001C37E4" w14:paraId="264428CA" w14:textId="77777777" w:rsidTr="001C37E4">
        <w:trPr>
          <w:trHeight w:val="245"/>
        </w:trPr>
        <w:tc>
          <w:tcPr>
            <w:tcW w:w="279" w:type="dxa"/>
            <w:shd w:val="clear" w:color="auto" w:fill="DC4405"/>
            <w:vAlign w:val="center"/>
          </w:tcPr>
          <w:p w14:paraId="4A154609" w14:textId="77777777" w:rsidR="001C37E4" w:rsidRPr="001C37E4" w:rsidRDefault="001C37E4" w:rsidP="001C37E4">
            <w:pPr>
              <w:spacing w:after="0" w:line="240" w:lineRule="auto"/>
              <w:jc w:val="left"/>
              <w:rPr>
                <w:rFonts w:ascii="Times New Roman" w:hAnsi="Times New Roman"/>
                <w:sz w:val="16"/>
                <w:szCs w:val="16"/>
                <w:lang w:val="en-CA"/>
              </w:rPr>
            </w:pPr>
          </w:p>
        </w:tc>
        <w:tc>
          <w:tcPr>
            <w:tcW w:w="9071" w:type="dxa"/>
            <w:vAlign w:val="center"/>
            <w:hideMark/>
          </w:tcPr>
          <w:p w14:paraId="2D2CAF0C"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Substantial Difference (SMD &gt;0.2)</w:t>
            </w:r>
          </w:p>
        </w:tc>
      </w:tr>
    </w:tbl>
    <w:p w14:paraId="4C6A93A1" w14:textId="2FAE690C" w:rsidR="000E6B97" w:rsidRDefault="001C37E4" w:rsidP="000E6B97">
      <w:pPr>
        <w:spacing w:after="480" w:line="240" w:lineRule="auto"/>
        <w:jc w:val="left"/>
        <w:rPr>
          <w:rFonts w:ascii="Arial" w:hAnsi="Arial"/>
          <w:b/>
          <w:bCs/>
          <w:sz w:val="20"/>
          <w:szCs w:val="20"/>
        </w:rPr>
      </w:pPr>
      <w:r w:rsidRPr="001C37E4">
        <w:rPr>
          <w:rFonts w:ascii="Arial" w:hAnsi="Arial"/>
          <w:sz w:val="16"/>
          <w:szCs w:val="16"/>
          <w:lang w:val="en-CA"/>
        </w:rPr>
        <w:t>Abbreviations: AF = atrial fibrillation; IQR = interquartile range; LA = left atria; mITT = modified intention-to-treat; SD = standard deviation; SMD = standardized mean difference</w:t>
      </w:r>
      <w:r w:rsidR="000E6B97">
        <w:rPr>
          <w:rFonts w:ascii="Arial" w:hAnsi="Arial"/>
          <w:b/>
          <w:bCs/>
          <w:sz w:val="20"/>
          <w:szCs w:val="20"/>
        </w:rPr>
        <w:br w:type="page"/>
      </w:r>
    </w:p>
    <w:p w14:paraId="2D524887" w14:textId="0F5BB63A" w:rsidR="001C37E4" w:rsidRPr="001C37E4" w:rsidRDefault="001C37E4" w:rsidP="001C37E4">
      <w:pPr>
        <w:keepNext/>
        <w:spacing w:before="480" w:after="60"/>
        <w:jc w:val="left"/>
        <w:rPr>
          <w:rFonts w:ascii="Arial" w:hAnsi="Arial"/>
          <w:b/>
          <w:bCs/>
          <w:sz w:val="20"/>
          <w:szCs w:val="20"/>
        </w:rPr>
      </w:pPr>
      <w:r w:rsidRPr="001C37E4">
        <w:rPr>
          <w:rFonts w:ascii="Arial" w:hAnsi="Arial"/>
          <w:b/>
          <w:bCs/>
          <w:sz w:val="20"/>
          <w:szCs w:val="20"/>
        </w:rPr>
        <w:lastRenderedPageBreak/>
        <w:t>Appendix 5: Patient characteristic tables fluoroscopy time</w:t>
      </w:r>
    </w:p>
    <w:tbl>
      <w:tblPr>
        <w:tblW w:w="10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1202"/>
        <w:gridCol w:w="1043"/>
        <w:gridCol w:w="1551"/>
        <w:gridCol w:w="1473"/>
        <w:gridCol w:w="688"/>
        <w:gridCol w:w="1475"/>
        <w:gridCol w:w="697"/>
        <w:gridCol w:w="1476"/>
        <w:gridCol w:w="697"/>
      </w:tblGrid>
      <w:tr w:rsidR="001C37E4" w:rsidRPr="001C37E4" w14:paraId="33450569" w14:textId="77777777" w:rsidTr="001C37E4">
        <w:trPr>
          <w:trHeight w:val="287"/>
        </w:trPr>
        <w:tc>
          <w:tcPr>
            <w:tcW w:w="2245" w:type="dxa"/>
            <w:gridSpan w:val="2"/>
            <w:shd w:val="clear" w:color="auto" w:fill="D9D9D9"/>
            <w:tcMar>
              <w:top w:w="72" w:type="dxa"/>
              <w:left w:w="144" w:type="dxa"/>
              <w:bottom w:w="72" w:type="dxa"/>
              <w:right w:w="144" w:type="dxa"/>
            </w:tcMar>
            <w:vAlign w:val="center"/>
            <w:hideMark/>
          </w:tcPr>
          <w:p w14:paraId="48B520B5" w14:textId="77777777" w:rsidR="001C37E4" w:rsidRPr="001C37E4" w:rsidRDefault="001C37E4" w:rsidP="001C37E4">
            <w:pPr>
              <w:spacing w:after="0" w:line="240" w:lineRule="auto"/>
              <w:jc w:val="left"/>
              <w:rPr>
                <w:rFonts w:ascii="Arial" w:eastAsia="Times New Roman" w:hAnsi="Arial"/>
                <w:b/>
                <w:sz w:val="16"/>
                <w:szCs w:val="16"/>
              </w:rPr>
            </w:pPr>
          </w:p>
        </w:tc>
        <w:tc>
          <w:tcPr>
            <w:tcW w:w="1551" w:type="dxa"/>
            <w:shd w:val="clear" w:color="auto" w:fill="D9D9D9"/>
            <w:tcMar>
              <w:top w:w="72" w:type="dxa"/>
              <w:left w:w="144" w:type="dxa"/>
              <w:bottom w:w="72" w:type="dxa"/>
              <w:right w:w="144" w:type="dxa"/>
            </w:tcMar>
            <w:vAlign w:val="center"/>
            <w:hideMark/>
          </w:tcPr>
          <w:p w14:paraId="67B4AC66"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Q-FFICIENCY</w:t>
            </w:r>
          </w:p>
        </w:tc>
        <w:tc>
          <w:tcPr>
            <w:tcW w:w="2161" w:type="dxa"/>
            <w:gridSpan w:val="2"/>
            <w:shd w:val="clear" w:color="auto" w:fill="D9D9D9"/>
            <w:tcMar>
              <w:top w:w="72" w:type="dxa"/>
              <w:left w:w="144" w:type="dxa"/>
              <w:bottom w:w="72" w:type="dxa"/>
              <w:right w:w="144" w:type="dxa"/>
            </w:tcMar>
            <w:vAlign w:val="center"/>
            <w:hideMark/>
          </w:tcPr>
          <w:p w14:paraId="1946AD6F"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SMART-AF + SMART-SF</w:t>
            </w:r>
          </w:p>
        </w:tc>
        <w:tc>
          <w:tcPr>
            <w:tcW w:w="2172" w:type="dxa"/>
            <w:gridSpan w:val="2"/>
            <w:shd w:val="clear" w:color="auto" w:fill="D9D9D9"/>
            <w:tcMar>
              <w:top w:w="72" w:type="dxa"/>
              <w:left w:w="144" w:type="dxa"/>
              <w:bottom w:w="72" w:type="dxa"/>
              <w:right w:w="144" w:type="dxa"/>
            </w:tcMar>
            <w:vAlign w:val="center"/>
            <w:hideMark/>
          </w:tcPr>
          <w:p w14:paraId="47782FC6"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SMART-AF</w:t>
            </w:r>
          </w:p>
        </w:tc>
        <w:tc>
          <w:tcPr>
            <w:tcW w:w="2173" w:type="dxa"/>
            <w:gridSpan w:val="2"/>
            <w:shd w:val="clear" w:color="auto" w:fill="D9D9D9"/>
            <w:tcMar>
              <w:top w:w="72" w:type="dxa"/>
              <w:left w:w="144" w:type="dxa"/>
              <w:bottom w:w="72" w:type="dxa"/>
              <w:right w:w="144" w:type="dxa"/>
            </w:tcMar>
            <w:vAlign w:val="center"/>
            <w:hideMark/>
          </w:tcPr>
          <w:p w14:paraId="68CD9E76"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SMART-SF</w:t>
            </w:r>
          </w:p>
        </w:tc>
      </w:tr>
      <w:tr w:rsidR="001C37E4" w:rsidRPr="001C37E4" w14:paraId="2C305F1C" w14:textId="77777777" w:rsidTr="001C37E4">
        <w:trPr>
          <w:trHeight w:val="341"/>
        </w:trPr>
        <w:tc>
          <w:tcPr>
            <w:tcW w:w="2245" w:type="dxa"/>
            <w:gridSpan w:val="2"/>
            <w:shd w:val="clear" w:color="auto" w:fill="D9D9D9"/>
            <w:tcMar>
              <w:top w:w="72" w:type="dxa"/>
              <w:left w:w="144" w:type="dxa"/>
              <w:bottom w:w="72" w:type="dxa"/>
              <w:right w:w="144" w:type="dxa"/>
            </w:tcMar>
            <w:vAlign w:val="center"/>
            <w:hideMark/>
          </w:tcPr>
          <w:p w14:paraId="79ED603D" w14:textId="77777777" w:rsidR="001C37E4" w:rsidRPr="001C37E4" w:rsidRDefault="001C37E4" w:rsidP="001C37E4">
            <w:pPr>
              <w:spacing w:after="0" w:line="240" w:lineRule="auto"/>
              <w:jc w:val="left"/>
              <w:textAlignment w:val="bottom"/>
              <w:rPr>
                <w:rFonts w:ascii="Arial" w:eastAsia="Times New Roman" w:hAnsi="Arial"/>
                <w:b/>
                <w:sz w:val="16"/>
                <w:szCs w:val="16"/>
              </w:rPr>
            </w:pPr>
            <w:r w:rsidRPr="001C37E4">
              <w:rPr>
                <w:rFonts w:ascii="Arial" w:eastAsia="Times New Roman" w:hAnsi="Arial"/>
                <w:b/>
                <w:sz w:val="16"/>
                <w:szCs w:val="16"/>
              </w:rPr>
              <w:t>Characteristic</w:t>
            </w:r>
          </w:p>
        </w:tc>
        <w:tc>
          <w:tcPr>
            <w:tcW w:w="1551" w:type="dxa"/>
            <w:shd w:val="clear" w:color="auto" w:fill="D9D9D9"/>
            <w:tcMar>
              <w:top w:w="72" w:type="dxa"/>
              <w:left w:w="144" w:type="dxa"/>
              <w:bottom w:w="72" w:type="dxa"/>
              <w:right w:w="144" w:type="dxa"/>
            </w:tcMar>
            <w:vAlign w:val="center"/>
            <w:hideMark/>
          </w:tcPr>
          <w:p w14:paraId="2291EEDC"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Per-protocol population</w:t>
            </w:r>
          </w:p>
        </w:tc>
        <w:tc>
          <w:tcPr>
            <w:tcW w:w="1473" w:type="dxa"/>
            <w:shd w:val="clear" w:color="auto" w:fill="D9D9D9"/>
            <w:tcMar>
              <w:top w:w="72" w:type="dxa"/>
              <w:left w:w="144" w:type="dxa"/>
              <w:bottom w:w="72" w:type="dxa"/>
              <w:right w:w="144" w:type="dxa"/>
            </w:tcMar>
            <w:vAlign w:val="center"/>
            <w:hideMark/>
          </w:tcPr>
          <w:p w14:paraId="53853A93"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Pooled</w:t>
            </w:r>
          </w:p>
        </w:tc>
        <w:tc>
          <w:tcPr>
            <w:tcW w:w="688" w:type="dxa"/>
            <w:shd w:val="clear" w:color="auto" w:fill="D9D9D9"/>
            <w:tcMar>
              <w:top w:w="72" w:type="dxa"/>
              <w:left w:w="144" w:type="dxa"/>
              <w:bottom w:w="72" w:type="dxa"/>
              <w:right w:w="144" w:type="dxa"/>
            </w:tcMar>
            <w:vAlign w:val="center"/>
            <w:hideMark/>
          </w:tcPr>
          <w:p w14:paraId="3924EC46"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SMD</w:t>
            </w:r>
          </w:p>
        </w:tc>
        <w:tc>
          <w:tcPr>
            <w:tcW w:w="1475" w:type="dxa"/>
            <w:shd w:val="clear" w:color="auto" w:fill="D9D9D9"/>
            <w:tcMar>
              <w:top w:w="72" w:type="dxa"/>
              <w:left w:w="144" w:type="dxa"/>
              <w:bottom w:w="72" w:type="dxa"/>
              <w:right w:w="144" w:type="dxa"/>
            </w:tcMar>
            <w:vAlign w:val="center"/>
            <w:hideMark/>
          </w:tcPr>
          <w:p w14:paraId="58890F39"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Primary effectiveness</w:t>
            </w:r>
          </w:p>
        </w:tc>
        <w:tc>
          <w:tcPr>
            <w:tcW w:w="697" w:type="dxa"/>
            <w:shd w:val="clear" w:color="auto" w:fill="D9D9D9"/>
            <w:tcMar>
              <w:top w:w="72" w:type="dxa"/>
              <w:left w:w="144" w:type="dxa"/>
              <w:bottom w:w="72" w:type="dxa"/>
              <w:right w:w="144" w:type="dxa"/>
            </w:tcMar>
            <w:vAlign w:val="center"/>
            <w:hideMark/>
          </w:tcPr>
          <w:p w14:paraId="1D19D6B9"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SMD</w:t>
            </w:r>
          </w:p>
        </w:tc>
        <w:tc>
          <w:tcPr>
            <w:tcW w:w="1476" w:type="dxa"/>
            <w:shd w:val="clear" w:color="auto" w:fill="D9D9D9"/>
            <w:tcMar>
              <w:top w:w="72" w:type="dxa"/>
              <w:left w:w="144" w:type="dxa"/>
              <w:bottom w:w="72" w:type="dxa"/>
              <w:right w:w="144" w:type="dxa"/>
            </w:tcMar>
            <w:vAlign w:val="center"/>
            <w:hideMark/>
          </w:tcPr>
          <w:p w14:paraId="034F48F5"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mITT population</w:t>
            </w:r>
          </w:p>
        </w:tc>
        <w:tc>
          <w:tcPr>
            <w:tcW w:w="697" w:type="dxa"/>
            <w:shd w:val="clear" w:color="auto" w:fill="D9D9D9"/>
            <w:tcMar>
              <w:top w:w="72" w:type="dxa"/>
              <w:left w:w="144" w:type="dxa"/>
              <w:bottom w:w="72" w:type="dxa"/>
              <w:right w:w="144" w:type="dxa"/>
            </w:tcMar>
            <w:vAlign w:val="center"/>
            <w:hideMark/>
          </w:tcPr>
          <w:p w14:paraId="13AE9900"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SMD</w:t>
            </w:r>
          </w:p>
        </w:tc>
      </w:tr>
      <w:tr w:rsidR="001C37E4" w:rsidRPr="001C37E4" w14:paraId="08AF2202" w14:textId="77777777" w:rsidTr="00EC53DB">
        <w:trPr>
          <w:trHeight w:val="282"/>
        </w:trPr>
        <w:tc>
          <w:tcPr>
            <w:tcW w:w="2245" w:type="dxa"/>
            <w:gridSpan w:val="2"/>
            <w:shd w:val="clear" w:color="auto" w:fill="auto"/>
            <w:tcMar>
              <w:top w:w="15" w:type="dxa"/>
              <w:left w:w="15" w:type="dxa"/>
              <w:bottom w:w="0" w:type="dxa"/>
              <w:right w:w="15" w:type="dxa"/>
            </w:tcMar>
            <w:vAlign w:val="center"/>
            <w:hideMark/>
          </w:tcPr>
          <w:p w14:paraId="56BD71F0" w14:textId="77777777" w:rsidR="001C37E4" w:rsidRPr="001C37E4" w:rsidRDefault="001C37E4" w:rsidP="001C37E4">
            <w:pPr>
              <w:spacing w:after="0" w:line="240" w:lineRule="auto"/>
              <w:jc w:val="left"/>
              <w:textAlignment w:val="bottom"/>
              <w:rPr>
                <w:rFonts w:ascii="Arial" w:eastAsia="Times New Roman" w:hAnsi="Arial"/>
                <w:i/>
                <w:sz w:val="16"/>
                <w:szCs w:val="16"/>
              </w:rPr>
            </w:pPr>
            <w:r w:rsidRPr="001C37E4">
              <w:rPr>
                <w:rFonts w:ascii="Arial" w:eastAsia="Times New Roman" w:hAnsi="Arial"/>
                <w:i/>
                <w:sz w:val="16"/>
                <w:szCs w:val="16"/>
              </w:rPr>
              <w:t>N</w:t>
            </w:r>
          </w:p>
        </w:tc>
        <w:tc>
          <w:tcPr>
            <w:tcW w:w="1551" w:type="dxa"/>
            <w:shd w:val="clear" w:color="auto" w:fill="auto"/>
            <w:tcMar>
              <w:top w:w="15" w:type="dxa"/>
              <w:left w:w="15" w:type="dxa"/>
              <w:bottom w:w="0" w:type="dxa"/>
              <w:right w:w="15" w:type="dxa"/>
            </w:tcMar>
            <w:vAlign w:val="center"/>
            <w:hideMark/>
          </w:tcPr>
          <w:p w14:paraId="3CC8E9F1" w14:textId="77777777" w:rsidR="001C37E4" w:rsidRPr="001C37E4" w:rsidRDefault="001C37E4" w:rsidP="001C37E4">
            <w:pPr>
              <w:spacing w:after="0" w:line="240" w:lineRule="auto"/>
              <w:jc w:val="center"/>
              <w:textAlignment w:val="bottom"/>
              <w:rPr>
                <w:rFonts w:ascii="Arial" w:eastAsia="Times New Roman" w:hAnsi="Arial"/>
                <w:i/>
                <w:sz w:val="16"/>
                <w:szCs w:val="16"/>
              </w:rPr>
            </w:pPr>
            <w:r w:rsidRPr="001C37E4">
              <w:rPr>
                <w:rFonts w:ascii="Arial" w:eastAsia="Times New Roman" w:hAnsi="Arial"/>
                <w:i/>
                <w:sz w:val="16"/>
                <w:szCs w:val="16"/>
              </w:rPr>
              <w:t>136</w:t>
            </w:r>
          </w:p>
        </w:tc>
        <w:tc>
          <w:tcPr>
            <w:tcW w:w="1473" w:type="dxa"/>
            <w:shd w:val="clear" w:color="auto" w:fill="auto"/>
            <w:tcMar>
              <w:top w:w="15" w:type="dxa"/>
              <w:left w:w="15" w:type="dxa"/>
              <w:bottom w:w="0" w:type="dxa"/>
              <w:right w:w="15" w:type="dxa"/>
            </w:tcMar>
            <w:vAlign w:val="center"/>
            <w:hideMark/>
          </w:tcPr>
          <w:p w14:paraId="02C38FA8" w14:textId="77777777" w:rsidR="001C37E4" w:rsidRPr="001C37E4" w:rsidRDefault="001C37E4" w:rsidP="001C37E4">
            <w:pPr>
              <w:spacing w:after="0" w:line="240" w:lineRule="auto"/>
              <w:jc w:val="center"/>
              <w:textAlignment w:val="bottom"/>
              <w:rPr>
                <w:rFonts w:ascii="Arial" w:eastAsia="Times New Roman" w:hAnsi="Arial"/>
                <w:i/>
                <w:sz w:val="16"/>
                <w:szCs w:val="16"/>
              </w:rPr>
            </w:pPr>
            <w:r w:rsidRPr="001C37E4">
              <w:rPr>
                <w:rFonts w:ascii="Arial" w:eastAsia="Times New Roman" w:hAnsi="Arial"/>
                <w:i/>
                <w:sz w:val="16"/>
                <w:szCs w:val="16"/>
              </w:rPr>
              <w:t>263</w:t>
            </w:r>
          </w:p>
        </w:tc>
        <w:tc>
          <w:tcPr>
            <w:tcW w:w="688" w:type="dxa"/>
            <w:shd w:val="clear" w:color="auto" w:fill="auto"/>
            <w:tcMar>
              <w:top w:w="15" w:type="dxa"/>
              <w:left w:w="15" w:type="dxa"/>
              <w:bottom w:w="0" w:type="dxa"/>
              <w:right w:w="15" w:type="dxa"/>
            </w:tcMar>
            <w:vAlign w:val="center"/>
            <w:hideMark/>
          </w:tcPr>
          <w:p w14:paraId="236ACFFD" w14:textId="77777777" w:rsidR="001C37E4" w:rsidRPr="001C37E4" w:rsidRDefault="001C37E4" w:rsidP="001C37E4">
            <w:pPr>
              <w:spacing w:after="0" w:line="240" w:lineRule="auto"/>
              <w:jc w:val="left"/>
              <w:rPr>
                <w:rFonts w:ascii="Arial" w:eastAsia="Times New Roman" w:hAnsi="Arial"/>
                <w:b/>
                <w:i/>
                <w:sz w:val="16"/>
                <w:szCs w:val="16"/>
              </w:rPr>
            </w:pPr>
          </w:p>
        </w:tc>
        <w:tc>
          <w:tcPr>
            <w:tcW w:w="1475" w:type="dxa"/>
            <w:shd w:val="clear" w:color="auto" w:fill="auto"/>
            <w:tcMar>
              <w:top w:w="15" w:type="dxa"/>
              <w:left w:w="15" w:type="dxa"/>
              <w:bottom w:w="0" w:type="dxa"/>
              <w:right w:w="15" w:type="dxa"/>
            </w:tcMar>
            <w:vAlign w:val="center"/>
            <w:hideMark/>
          </w:tcPr>
          <w:p w14:paraId="53B9D9FA" w14:textId="77777777" w:rsidR="001C37E4" w:rsidRPr="001C37E4" w:rsidRDefault="001C37E4" w:rsidP="001C37E4">
            <w:pPr>
              <w:spacing w:after="0" w:line="240" w:lineRule="auto"/>
              <w:jc w:val="center"/>
              <w:textAlignment w:val="bottom"/>
              <w:rPr>
                <w:rFonts w:ascii="Arial" w:eastAsia="Times New Roman" w:hAnsi="Arial"/>
                <w:i/>
                <w:sz w:val="16"/>
                <w:szCs w:val="16"/>
              </w:rPr>
            </w:pPr>
            <w:r w:rsidRPr="001C37E4">
              <w:rPr>
                <w:rFonts w:ascii="Arial" w:eastAsia="Times New Roman" w:hAnsi="Arial"/>
                <w:i/>
                <w:sz w:val="16"/>
                <w:szCs w:val="16"/>
              </w:rPr>
              <w:t>114</w:t>
            </w:r>
          </w:p>
        </w:tc>
        <w:tc>
          <w:tcPr>
            <w:tcW w:w="697" w:type="dxa"/>
            <w:shd w:val="clear" w:color="auto" w:fill="auto"/>
            <w:tcMar>
              <w:top w:w="15" w:type="dxa"/>
              <w:left w:w="15" w:type="dxa"/>
              <w:bottom w:w="0" w:type="dxa"/>
              <w:right w:w="15" w:type="dxa"/>
            </w:tcMar>
            <w:vAlign w:val="center"/>
            <w:hideMark/>
          </w:tcPr>
          <w:p w14:paraId="1BEC3E17" w14:textId="77777777" w:rsidR="001C37E4" w:rsidRPr="001C37E4" w:rsidRDefault="001C37E4" w:rsidP="001C37E4">
            <w:pPr>
              <w:spacing w:after="0" w:line="240" w:lineRule="auto"/>
              <w:jc w:val="left"/>
              <w:rPr>
                <w:rFonts w:ascii="Arial" w:eastAsia="Times New Roman" w:hAnsi="Arial"/>
                <w:b/>
                <w:i/>
                <w:sz w:val="16"/>
                <w:szCs w:val="16"/>
              </w:rPr>
            </w:pPr>
          </w:p>
        </w:tc>
        <w:tc>
          <w:tcPr>
            <w:tcW w:w="1476" w:type="dxa"/>
            <w:shd w:val="clear" w:color="auto" w:fill="auto"/>
            <w:tcMar>
              <w:top w:w="15" w:type="dxa"/>
              <w:left w:w="15" w:type="dxa"/>
              <w:bottom w:w="0" w:type="dxa"/>
              <w:right w:w="15" w:type="dxa"/>
            </w:tcMar>
            <w:vAlign w:val="center"/>
            <w:hideMark/>
          </w:tcPr>
          <w:p w14:paraId="5116ABE8" w14:textId="77777777" w:rsidR="001C37E4" w:rsidRPr="001C37E4" w:rsidRDefault="001C37E4" w:rsidP="001C37E4">
            <w:pPr>
              <w:spacing w:after="0" w:line="240" w:lineRule="auto"/>
              <w:jc w:val="center"/>
              <w:textAlignment w:val="bottom"/>
              <w:rPr>
                <w:rFonts w:ascii="Arial" w:eastAsia="Times New Roman" w:hAnsi="Arial"/>
                <w:i/>
                <w:sz w:val="16"/>
                <w:szCs w:val="16"/>
              </w:rPr>
            </w:pPr>
            <w:r w:rsidRPr="001C37E4">
              <w:rPr>
                <w:rFonts w:ascii="Arial" w:eastAsia="Times New Roman" w:hAnsi="Arial"/>
                <w:i/>
                <w:sz w:val="16"/>
                <w:szCs w:val="16"/>
              </w:rPr>
              <w:t>149</w:t>
            </w:r>
          </w:p>
        </w:tc>
        <w:tc>
          <w:tcPr>
            <w:tcW w:w="697" w:type="dxa"/>
            <w:shd w:val="clear" w:color="auto" w:fill="auto"/>
            <w:tcMar>
              <w:top w:w="15" w:type="dxa"/>
              <w:left w:w="15" w:type="dxa"/>
              <w:bottom w:w="0" w:type="dxa"/>
              <w:right w:w="15" w:type="dxa"/>
            </w:tcMar>
            <w:vAlign w:val="center"/>
            <w:hideMark/>
          </w:tcPr>
          <w:p w14:paraId="6DCDBBEB" w14:textId="77777777" w:rsidR="001C37E4" w:rsidRPr="001C37E4" w:rsidRDefault="001C37E4" w:rsidP="001C37E4">
            <w:pPr>
              <w:spacing w:after="0" w:line="240" w:lineRule="auto"/>
              <w:jc w:val="left"/>
              <w:rPr>
                <w:rFonts w:ascii="Arial" w:eastAsia="Times New Roman" w:hAnsi="Arial"/>
                <w:b/>
                <w:i/>
                <w:sz w:val="16"/>
                <w:szCs w:val="16"/>
              </w:rPr>
            </w:pPr>
          </w:p>
        </w:tc>
      </w:tr>
      <w:tr w:rsidR="001C37E4" w:rsidRPr="001C37E4" w14:paraId="6176850C" w14:textId="77777777" w:rsidTr="00EC53DB">
        <w:trPr>
          <w:trHeight w:val="282"/>
        </w:trPr>
        <w:tc>
          <w:tcPr>
            <w:tcW w:w="2245" w:type="dxa"/>
            <w:gridSpan w:val="2"/>
            <w:shd w:val="clear" w:color="auto" w:fill="auto"/>
            <w:tcMar>
              <w:top w:w="15" w:type="dxa"/>
              <w:left w:w="15" w:type="dxa"/>
              <w:bottom w:w="0" w:type="dxa"/>
              <w:right w:w="15" w:type="dxa"/>
            </w:tcMar>
            <w:vAlign w:val="center"/>
            <w:hideMark/>
          </w:tcPr>
          <w:p w14:paraId="41B84F1D"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Sex (female), n (%)</w:t>
            </w:r>
          </w:p>
        </w:tc>
        <w:tc>
          <w:tcPr>
            <w:tcW w:w="1551" w:type="dxa"/>
            <w:shd w:val="clear" w:color="auto" w:fill="auto"/>
            <w:tcMar>
              <w:top w:w="15" w:type="dxa"/>
              <w:left w:w="15" w:type="dxa"/>
              <w:bottom w:w="0" w:type="dxa"/>
              <w:right w:w="15" w:type="dxa"/>
            </w:tcMar>
            <w:vAlign w:val="center"/>
            <w:hideMark/>
          </w:tcPr>
          <w:p w14:paraId="56BFE1B4"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53 (39.0)</w:t>
            </w:r>
          </w:p>
        </w:tc>
        <w:tc>
          <w:tcPr>
            <w:tcW w:w="1473" w:type="dxa"/>
            <w:shd w:val="clear" w:color="auto" w:fill="auto"/>
            <w:tcMar>
              <w:top w:w="15" w:type="dxa"/>
              <w:left w:w="15" w:type="dxa"/>
              <w:bottom w:w="0" w:type="dxa"/>
              <w:right w:w="15" w:type="dxa"/>
            </w:tcMar>
            <w:vAlign w:val="center"/>
            <w:hideMark/>
          </w:tcPr>
          <w:p w14:paraId="1A428BE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90 (34.2)</w:t>
            </w:r>
          </w:p>
        </w:tc>
        <w:tc>
          <w:tcPr>
            <w:tcW w:w="688" w:type="dxa"/>
            <w:shd w:val="clear" w:color="auto" w:fill="auto"/>
            <w:tcMar>
              <w:top w:w="15" w:type="dxa"/>
              <w:left w:w="15" w:type="dxa"/>
              <w:bottom w:w="0" w:type="dxa"/>
              <w:right w:w="15" w:type="dxa"/>
            </w:tcMar>
            <w:vAlign w:val="center"/>
            <w:hideMark/>
          </w:tcPr>
          <w:p w14:paraId="05FD409C"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0.099</w:t>
            </w:r>
          </w:p>
        </w:tc>
        <w:tc>
          <w:tcPr>
            <w:tcW w:w="1475" w:type="dxa"/>
            <w:shd w:val="clear" w:color="auto" w:fill="auto"/>
            <w:tcMar>
              <w:top w:w="15" w:type="dxa"/>
              <w:left w:w="15" w:type="dxa"/>
              <w:bottom w:w="0" w:type="dxa"/>
              <w:right w:w="15" w:type="dxa"/>
            </w:tcMar>
            <w:vAlign w:val="center"/>
            <w:hideMark/>
          </w:tcPr>
          <w:p w14:paraId="5FA45C8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31 (27.2)</w:t>
            </w:r>
          </w:p>
        </w:tc>
        <w:tc>
          <w:tcPr>
            <w:tcW w:w="697" w:type="dxa"/>
            <w:shd w:val="clear" w:color="auto" w:fill="auto"/>
            <w:tcMar>
              <w:top w:w="15" w:type="dxa"/>
              <w:left w:w="15" w:type="dxa"/>
              <w:bottom w:w="0" w:type="dxa"/>
              <w:right w:w="15" w:type="dxa"/>
            </w:tcMar>
            <w:vAlign w:val="center"/>
            <w:hideMark/>
          </w:tcPr>
          <w:p w14:paraId="3F7EF8FE"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0.252</w:t>
            </w:r>
          </w:p>
        </w:tc>
        <w:tc>
          <w:tcPr>
            <w:tcW w:w="1476" w:type="dxa"/>
            <w:shd w:val="clear" w:color="auto" w:fill="auto"/>
            <w:tcMar>
              <w:top w:w="15" w:type="dxa"/>
              <w:left w:w="15" w:type="dxa"/>
              <w:bottom w:w="0" w:type="dxa"/>
              <w:right w:w="15" w:type="dxa"/>
            </w:tcMar>
            <w:vAlign w:val="center"/>
            <w:hideMark/>
          </w:tcPr>
          <w:p w14:paraId="05230078"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59 (39.6)</w:t>
            </w:r>
          </w:p>
        </w:tc>
        <w:tc>
          <w:tcPr>
            <w:tcW w:w="697" w:type="dxa"/>
            <w:shd w:val="clear" w:color="auto" w:fill="auto"/>
            <w:tcMar>
              <w:top w:w="15" w:type="dxa"/>
              <w:left w:w="15" w:type="dxa"/>
              <w:bottom w:w="0" w:type="dxa"/>
              <w:right w:w="15" w:type="dxa"/>
            </w:tcMar>
            <w:vAlign w:val="center"/>
            <w:hideMark/>
          </w:tcPr>
          <w:p w14:paraId="2AD5A70E"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00B050"/>
                <w:sz w:val="16"/>
                <w:szCs w:val="16"/>
              </w:rPr>
              <w:t>0.013</w:t>
            </w:r>
          </w:p>
        </w:tc>
      </w:tr>
      <w:tr w:rsidR="001C37E4" w:rsidRPr="001C37E4" w14:paraId="31AFFB90" w14:textId="77777777" w:rsidTr="00EC53DB">
        <w:trPr>
          <w:trHeight w:val="282"/>
        </w:trPr>
        <w:tc>
          <w:tcPr>
            <w:tcW w:w="2245" w:type="dxa"/>
            <w:gridSpan w:val="2"/>
            <w:shd w:val="clear" w:color="auto" w:fill="auto"/>
            <w:tcMar>
              <w:top w:w="15" w:type="dxa"/>
              <w:left w:w="15" w:type="dxa"/>
              <w:bottom w:w="0" w:type="dxa"/>
              <w:right w:w="15" w:type="dxa"/>
            </w:tcMar>
            <w:vAlign w:val="center"/>
            <w:hideMark/>
          </w:tcPr>
          <w:p w14:paraId="1ADB09B5"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Race (non-white), n (%)</w:t>
            </w:r>
          </w:p>
        </w:tc>
        <w:tc>
          <w:tcPr>
            <w:tcW w:w="1551" w:type="dxa"/>
            <w:shd w:val="clear" w:color="auto" w:fill="auto"/>
            <w:tcMar>
              <w:top w:w="15" w:type="dxa"/>
              <w:left w:w="15" w:type="dxa"/>
              <w:bottom w:w="0" w:type="dxa"/>
              <w:right w:w="15" w:type="dxa"/>
            </w:tcMar>
            <w:vAlign w:val="center"/>
            <w:hideMark/>
          </w:tcPr>
          <w:p w14:paraId="60103141"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14 (10.3)</w:t>
            </w:r>
          </w:p>
        </w:tc>
        <w:tc>
          <w:tcPr>
            <w:tcW w:w="1473" w:type="dxa"/>
            <w:shd w:val="clear" w:color="auto" w:fill="auto"/>
            <w:tcMar>
              <w:top w:w="15" w:type="dxa"/>
              <w:left w:w="15" w:type="dxa"/>
              <w:bottom w:w="0" w:type="dxa"/>
              <w:right w:w="15" w:type="dxa"/>
            </w:tcMar>
            <w:vAlign w:val="center"/>
            <w:hideMark/>
          </w:tcPr>
          <w:p w14:paraId="683E75E9"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10 (3.8)</w:t>
            </w:r>
          </w:p>
        </w:tc>
        <w:tc>
          <w:tcPr>
            <w:tcW w:w="688" w:type="dxa"/>
            <w:shd w:val="clear" w:color="auto" w:fill="auto"/>
            <w:tcMar>
              <w:top w:w="15" w:type="dxa"/>
              <w:left w:w="15" w:type="dxa"/>
              <w:bottom w:w="0" w:type="dxa"/>
              <w:right w:w="15" w:type="dxa"/>
            </w:tcMar>
            <w:vAlign w:val="center"/>
            <w:hideMark/>
          </w:tcPr>
          <w:p w14:paraId="3F3E49AE"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0.256</w:t>
            </w:r>
          </w:p>
        </w:tc>
        <w:tc>
          <w:tcPr>
            <w:tcW w:w="1475" w:type="dxa"/>
            <w:shd w:val="clear" w:color="auto" w:fill="auto"/>
            <w:tcMar>
              <w:top w:w="15" w:type="dxa"/>
              <w:left w:w="15" w:type="dxa"/>
              <w:bottom w:w="0" w:type="dxa"/>
              <w:right w:w="15" w:type="dxa"/>
            </w:tcMar>
            <w:vAlign w:val="center"/>
            <w:hideMark/>
          </w:tcPr>
          <w:p w14:paraId="539D707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 (5.3)</w:t>
            </w:r>
          </w:p>
        </w:tc>
        <w:tc>
          <w:tcPr>
            <w:tcW w:w="697" w:type="dxa"/>
            <w:shd w:val="clear" w:color="auto" w:fill="auto"/>
            <w:tcMar>
              <w:top w:w="15" w:type="dxa"/>
              <w:left w:w="15" w:type="dxa"/>
              <w:bottom w:w="0" w:type="dxa"/>
              <w:right w:w="15" w:type="dxa"/>
            </w:tcMar>
            <w:vAlign w:val="center"/>
            <w:hideMark/>
          </w:tcPr>
          <w:p w14:paraId="59F0D11C"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ED8B00"/>
                <w:sz w:val="16"/>
                <w:szCs w:val="16"/>
              </w:rPr>
              <w:t>0.189</w:t>
            </w:r>
          </w:p>
        </w:tc>
        <w:tc>
          <w:tcPr>
            <w:tcW w:w="1476" w:type="dxa"/>
            <w:shd w:val="clear" w:color="auto" w:fill="auto"/>
            <w:tcMar>
              <w:top w:w="15" w:type="dxa"/>
              <w:left w:w="15" w:type="dxa"/>
              <w:bottom w:w="0" w:type="dxa"/>
              <w:right w:w="15" w:type="dxa"/>
            </w:tcMar>
            <w:vAlign w:val="center"/>
            <w:hideMark/>
          </w:tcPr>
          <w:p w14:paraId="06930261"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4 (2.7)</w:t>
            </w:r>
          </w:p>
        </w:tc>
        <w:tc>
          <w:tcPr>
            <w:tcW w:w="697" w:type="dxa"/>
            <w:shd w:val="clear" w:color="auto" w:fill="auto"/>
            <w:tcMar>
              <w:top w:w="15" w:type="dxa"/>
              <w:left w:w="15" w:type="dxa"/>
              <w:bottom w:w="0" w:type="dxa"/>
              <w:right w:w="15" w:type="dxa"/>
            </w:tcMar>
            <w:vAlign w:val="center"/>
            <w:hideMark/>
          </w:tcPr>
          <w:p w14:paraId="50CF0998"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0.313</w:t>
            </w:r>
          </w:p>
        </w:tc>
      </w:tr>
      <w:tr w:rsidR="001C37E4" w:rsidRPr="001C37E4" w14:paraId="59E9CE71" w14:textId="77777777" w:rsidTr="00EC53DB">
        <w:trPr>
          <w:trHeight w:val="282"/>
        </w:trPr>
        <w:tc>
          <w:tcPr>
            <w:tcW w:w="2245" w:type="dxa"/>
            <w:gridSpan w:val="2"/>
            <w:shd w:val="clear" w:color="auto" w:fill="auto"/>
            <w:tcMar>
              <w:top w:w="15" w:type="dxa"/>
              <w:left w:w="15" w:type="dxa"/>
              <w:bottom w:w="0" w:type="dxa"/>
              <w:right w:w="15" w:type="dxa"/>
            </w:tcMar>
            <w:vAlign w:val="center"/>
            <w:hideMark/>
          </w:tcPr>
          <w:p w14:paraId="47529A01"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Ethnicity (Hispanic/Latino), n (%)</w:t>
            </w:r>
          </w:p>
        </w:tc>
        <w:tc>
          <w:tcPr>
            <w:tcW w:w="1551" w:type="dxa"/>
            <w:shd w:val="clear" w:color="auto" w:fill="auto"/>
            <w:tcMar>
              <w:top w:w="15" w:type="dxa"/>
              <w:left w:w="15" w:type="dxa"/>
              <w:bottom w:w="0" w:type="dxa"/>
              <w:right w:w="15" w:type="dxa"/>
            </w:tcMar>
            <w:vAlign w:val="center"/>
            <w:hideMark/>
          </w:tcPr>
          <w:p w14:paraId="46EAF845"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 (2.2)</w:t>
            </w:r>
          </w:p>
        </w:tc>
        <w:tc>
          <w:tcPr>
            <w:tcW w:w="1473" w:type="dxa"/>
            <w:shd w:val="clear" w:color="auto" w:fill="auto"/>
            <w:tcMar>
              <w:top w:w="15" w:type="dxa"/>
              <w:left w:w="15" w:type="dxa"/>
              <w:bottom w:w="0" w:type="dxa"/>
              <w:right w:w="15" w:type="dxa"/>
            </w:tcMar>
            <w:vAlign w:val="center"/>
            <w:hideMark/>
          </w:tcPr>
          <w:p w14:paraId="3F435C1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4 (1.5)</w:t>
            </w:r>
          </w:p>
        </w:tc>
        <w:tc>
          <w:tcPr>
            <w:tcW w:w="688" w:type="dxa"/>
            <w:shd w:val="clear" w:color="auto" w:fill="auto"/>
            <w:tcMar>
              <w:top w:w="15" w:type="dxa"/>
              <w:left w:w="15" w:type="dxa"/>
              <w:bottom w:w="0" w:type="dxa"/>
              <w:right w:w="15" w:type="dxa"/>
            </w:tcMar>
            <w:vAlign w:val="center"/>
            <w:hideMark/>
          </w:tcPr>
          <w:p w14:paraId="16309CD9"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0.051</w:t>
            </w:r>
          </w:p>
        </w:tc>
        <w:tc>
          <w:tcPr>
            <w:tcW w:w="1475" w:type="dxa"/>
            <w:shd w:val="clear" w:color="auto" w:fill="auto"/>
            <w:tcMar>
              <w:top w:w="15" w:type="dxa"/>
              <w:left w:w="15" w:type="dxa"/>
              <w:bottom w:w="0" w:type="dxa"/>
              <w:right w:w="15" w:type="dxa"/>
            </w:tcMar>
            <w:vAlign w:val="center"/>
            <w:hideMark/>
          </w:tcPr>
          <w:p w14:paraId="61FDF70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 (2.6)</w:t>
            </w:r>
          </w:p>
        </w:tc>
        <w:tc>
          <w:tcPr>
            <w:tcW w:w="697" w:type="dxa"/>
            <w:shd w:val="clear" w:color="auto" w:fill="auto"/>
            <w:tcMar>
              <w:top w:w="15" w:type="dxa"/>
              <w:left w:w="15" w:type="dxa"/>
              <w:bottom w:w="0" w:type="dxa"/>
              <w:right w:w="15" w:type="dxa"/>
            </w:tcMar>
            <w:vAlign w:val="center"/>
            <w:hideMark/>
          </w:tcPr>
          <w:p w14:paraId="66FB1C0A"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00B050"/>
                <w:sz w:val="16"/>
                <w:szCs w:val="16"/>
              </w:rPr>
              <w:t>0.028</w:t>
            </w:r>
          </w:p>
        </w:tc>
        <w:tc>
          <w:tcPr>
            <w:tcW w:w="1476" w:type="dxa"/>
            <w:shd w:val="clear" w:color="auto" w:fill="auto"/>
            <w:tcMar>
              <w:top w:w="15" w:type="dxa"/>
              <w:left w:w="15" w:type="dxa"/>
              <w:bottom w:w="0" w:type="dxa"/>
              <w:right w:w="15" w:type="dxa"/>
            </w:tcMar>
            <w:vAlign w:val="center"/>
            <w:hideMark/>
          </w:tcPr>
          <w:p w14:paraId="4A6F8A91"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 (0.7)</w:t>
            </w:r>
          </w:p>
        </w:tc>
        <w:tc>
          <w:tcPr>
            <w:tcW w:w="697" w:type="dxa"/>
            <w:shd w:val="clear" w:color="auto" w:fill="auto"/>
            <w:tcMar>
              <w:top w:w="15" w:type="dxa"/>
              <w:left w:w="15" w:type="dxa"/>
              <w:bottom w:w="0" w:type="dxa"/>
              <w:right w:w="15" w:type="dxa"/>
            </w:tcMar>
            <w:vAlign w:val="center"/>
            <w:hideMark/>
          </w:tcPr>
          <w:p w14:paraId="3423BBD6"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ED8B00"/>
                <w:sz w:val="16"/>
                <w:szCs w:val="16"/>
              </w:rPr>
              <w:t>0.129</w:t>
            </w:r>
          </w:p>
        </w:tc>
      </w:tr>
      <w:tr w:rsidR="001C37E4" w:rsidRPr="001C37E4" w14:paraId="78ABDF00" w14:textId="77777777" w:rsidTr="00EC53DB">
        <w:trPr>
          <w:trHeight w:val="282"/>
        </w:trPr>
        <w:tc>
          <w:tcPr>
            <w:tcW w:w="2245" w:type="dxa"/>
            <w:gridSpan w:val="2"/>
            <w:shd w:val="clear" w:color="auto" w:fill="auto"/>
            <w:tcMar>
              <w:top w:w="15" w:type="dxa"/>
              <w:left w:w="15" w:type="dxa"/>
              <w:bottom w:w="0" w:type="dxa"/>
              <w:right w:w="15" w:type="dxa"/>
            </w:tcMar>
            <w:vAlign w:val="center"/>
            <w:hideMark/>
          </w:tcPr>
          <w:p w14:paraId="79A1ACC0"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Diabetes, n (%)</w:t>
            </w:r>
          </w:p>
        </w:tc>
        <w:tc>
          <w:tcPr>
            <w:tcW w:w="1551" w:type="dxa"/>
            <w:shd w:val="clear" w:color="auto" w:fill="auto"/>
            <w:tcMar>
              <w:top w:w="15" w:type="dxa"/>
              <w:left w:w="15" w:type="dxa"/>
              <w:bottom w:w="0" w:type="dxa"/>
              <w:right w:w="15" w:type="dxa"/>
            </w:tcMar>
            <w:vAlign w:val="center"/>
            <w:hideMark/>
          </w:tcPr>
          <w:p w14:paraId="4A6D2A9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26 (19.1)</w:t>
            </w:r>
          </w:p>
        </w:tc>
        <w:tc>
          <w:tcPr>
            <w:tcW w:w="1473" w:type="dxa"/>
            <w:shd w:val="clear" w:color="auto" w:fill="auto"/>
            <w:tcMar>
              <w:top w:w="15" w:type="dxa"/>
              <w:left w:w="15" w:type="dxa"/>
              <w:bottom w:w="0" w:type="dxa"/>
              <w:right w:w="15" w:type="dxa"/>
            </w:tcMar>
            <w:vAlign w:val="center"/>
            <w:hideMark/>
          </w:tcPr>
          <w:p w14:paraId="590727BC"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33 (12.5)</w:t>
            </w:r>
          </w:p>
        </w:tc>
        <w:tc>
          <w:tcPr>
            <w:tcW w:w="688" w:type="dxa"/>
            <w:shd w:val="clear" w:color="auto" w:fill="auto"/>
            <w:tcMar>
              <w:top w:w="15" w:type="dxa"/>
              <w:left w:w="15" w:type="dxa"/>
              <w:bottom w:w="0" w:type="dxa"/>
              <w:right w:w="15" w:type="dxa"/>
            </w:tcMar>
            <w:vAlign w:val="center"/>
            <w:hideMark/>
          </w:tcPr>
          <w:p w14:paraId="028C4B71"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0.181</w:t>
            </w:r>
          </w:p>
        </w:tc>
        <w:tc>
          <w:tcPr>
            <w:tcW w:w="1475" w:type="dxa"/>
            <w:shd w:val="clear" w:color="auto" w:fill="auto"/>
            <w:tcMar>
              <w:top w:w="15" w:type="dxa"/>
              <w:left w:w="15" w:type="dxa"/>
              <w:bottom w:w="0" w:type="dxa"/>
              <w:right w:w="15" w:type="dxa"/>
            </w:tcMar>
            <w:vAlign w:val="center"/>
            <w:hideMark/>
          </w:tcPr>
          <w:p w14:paraId="5B36CFF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13 (11.4)</w:t>
            </w:r>
          </w:p>
        </w:tc>
        <w:tc>
          <w:tcPr>
            <w:tcW w:w="697" w:type="dxa"/>
            <w:shd w:val="clear" w:color="auto" w:fill="auto"/>
            <w:tcMar>
              <w:top w:w="15" w:type="dxa"/>
              <w:left w:w="15" w:type="dxa"/>
              <w:bottom w:w="0" w:type="dxa"/>
              <w:right w:w="15" w:type="dxa"/>
            </w:tcMar>
            <w:vAlign w:val="center"/>
            <w:hideMark/>
          </w:tcPr>
          <w:p w14:paraId="60D627FA"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0.216</w:t>
            </w:r>
          </w:p>
        </w:tc>
        <w:tc>
          <w:tcPr>
            <w:tcW w:w="1476" w:type="dxa"/>
            <w:shd w:val="clear" w:color="auto" w:fill="auto"/>
            <w:tcMar>
              <w:top w:w="15" w:type="dxa"/>
              <w:left w:w="15" w:type="dxa"/>
              <w:bottom w:w="0" w:type="dxa"/>
              <w:right w:w="15" w:type="dxa"/>
            </w:tcMar>
            <w:vAlign w:val="center"/>
            <w:hideMark/>
          </w:tcPr>
          <w:p w14:paraId="12C8977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20 (13.4)</w:t>
            </w:r>
          </w:p>
        </w:tc>
        <w:tc>
          <w:tcPr>
            <w:tcW w:w="697" w:type="dxa"/>
            <w:shd w:val="clear" w:color="auto" w:fill="auto"/>
            <w:tcMar>
              <w:top w:w="15" w:type="dxa"/>
              <w:left w:w="15" w:type="dxa"/>
              <w:bottom w:w="0" w:type="dxa"/>
              <w:right w:w="15" w:type="dxa"/>
            </w:tcMar>
            <w:vAlign w:val="center"/>
            <w:hideMark/>
          </w:tcPr>
          <w:p w14:paraId="34674416"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0.155</w:t>
            </w:r>
          </w:p>
        </w:tc>
      </w:tr>
      <w:tr w:rsidR="001C37E4" w:rsidRPr="001C37E4" w14:paraId="3CA7B390" w14:textId="77777777" w:rsidTr="00EC53DB">
        <w:trPr>
          <w:trHeight w:val="282"/>
        </w:trPr>
        <w:tc>
          <w:tcPr>
            <w:tcW w:w="2245" w:type="dxa"/>
            <w:gridSpan w:val="2"/>
            <w:shd w:val="clear" w:color="auto" w:fill="auto"/>
            <w:tcMar>
              <w:top w:w="15" w:type="dxa"/>
              <w:left w:w="15" w:type="dxa"/>
              <w:bottom w:w="0" w:type="dxa"/>
              <w:right w:w="15" w:type="dxa"/>
            </w:tcMar>
            <w:vAlign w:val="center"/>
            <w:hideMark/>
          </w:tcPr>
          <w:p w14:paraId="7496E920"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Hypertension, n (%)</w:t>
            </w:r>
          </w:p>
        </w:tc>
        <w:tc>
          <w:tcPr>
            <w:tcW w:w="1551" w:type="dxa"/>
            <w:shd w:val="clear" w:color="auto" w:fill="auto"/>
            <w:tcMar>
              <w:top w:w="15" w:type="dxa"/>
              <w:left w:w="15" w:type="dxa"/>
              <w:bottom w:w="0" w:type="dxa"/>
              <w:right w:w="15" w:type="dxa"/>
            </w:tcMar>
            <w:vAlign w:val="center"/>
            <w:hideMark/>
          </w:tcPr>
          <w:p w14:paraId="5C7A60A4"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93 (68.4)</w:t>
            </w:r>
          </w:p>
        </w:tc>
        <w:tc>
          <w:tcPr>
            <w:tcW w:w="1473" w:type="dxa"/>
            <w:shd w:val="clear" w:color="auto" w:fill="auto"/>
            <w:tcMar>
              <w:top w:w="15" w:type="dxa"/>
              <w:left w:w="15" w:type="dxa"/>
              <w:bottom w:w="0" w:type="dxa"/>
              <w:right w:w="15" w:type="dxa"/>
            </w:tcMar>
            <w:vAlign w:val="center"/>
            <w:hideMark/>
          </w:tcPr>
          <w:p w14:paraId="5DDA62B2"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154 (58.6)</w:t>
            </w:r>
          </w:p>
        </w:tc>
        <w:tc>
          <w:tcPr>
            <w:tcW w:w="688" w:type="dxa"/>
            <w:shd w:val="clear" w:color="auto" w:fill="auto"/>
            <w:tcMar>
              <w:top w:w="15" w:type="dxa"/>
              <w:left w:w="15" w:type="dxa"/>
              <w:bottom w:w="0" w:type="dxa"/>
              <w:right w:w="15" w:type="dxa"/>
            </w:tcMar>
            <w:vAlign w:val="center"/>
            <w:hideMark/>
          </w:tcPr>
          <w:p w14:paraId="1E092ED1"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0.205</w:t>
            </w:r>
          </w:p>
        </w:tc>
        <w:tc>
          <w:tcPr>
            <w:tcW w:w="1475" w:type="dxa"/>
            <w:shd w:val="clear" w:color="auto" w:fill="auto"/>
            <w:tcMar>
              <w:top w:w="15" w:type="dxa"/>
              <w:left w:w="15" w:type="dxa"/>
              <w:bottom w:w="0" w:type="dxa"/>
              <w:right w:w="15" w:type="dxa"/>
            </w:tcMar>
            <w:vAlign w:val="center"/>
            <w:hideMark/>
          </w:tcPr>
          <w:p w14:paraId="6155CDD5"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68 (59.6)</w:t>
            </w:r>
          </w:p>
        </w:tc>
        <w:tc>
          <w:tcPr>
            <w:tcW w:w="697" w:type="dxa"/>
            <w:shd w:val="clear" w:color="auto" w:fill="auto"/>
            <w:tcMar>
              <w:top w:w="15" w:type="dxa"/>
              <w:left w:w="15" w:type="dxa"/>
              <w:bottom w:w="0" w:type="dxa"/>
              <w:right w:w="15" w:type="dxa"/>
            </w:tcMar>
            <w:vAlign w:val="center"/>
            <w:hideMark/>
          </w:tcPr>
          <w:p w14:paraId="33C65047"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0.183</w:t>
            </w:r>
          </w:p>
        </w:tc>
        <w:tc>
          <w:tcPr>
            <w:tcW w:w="1476" w:type="dxa"/>
            <w:shd w:val="clear" w:color="auto" w:fill="auto"/>
            <w:tcMar>
              <w:top w:w="15" w:type="dxa"/>
              <w:left w:w="15" w:type="dxa"/>
              <w:bottom w:w="0" w:type="dxa"/>
              <w:right w:w="15" w:type="dxa"/>
            </w:tcMar>
            <w:vAlign w:val="center"/>
            <w:hideMark/>
          </w:tcPr>
          <w:p w14:paraId="5A027CD9"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86 (57.7)</w:t>
            </w:r>
          </w:p>
        </w:tc>
        <w:tc>
          <w:tcPr>
            <w:tcW w:w="697" w:type="dxa"/>
            <w:shd w:val="clear" w:color="auto" w:fill="auto"/>
            <w:tcMar>
              <w:top w:w="15" w:type="dxa"/>
              <w:left w:w="15" w:type="dxa"/>
              <w:bottom w:w="0" w:type="dxa"/>
              <w:right w:w="15" w:type="dxa"/>
            </w:tcMar>
            <w:vAlign w:val="center"/>
            <w:hideMark/>
          </w:tcPr>
          <w:p w14:paraId="2C7C6E7E"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0.222</w:t>
            </w:r>
          </w:p>
        </w:tc>
      </w:tr>
      <w:tr w:rsidR="001C37E4" w:rsidRPr="001C37E4" w14:paraId="4E470AB2" w14:textId="77777777" w:rsidTr="00EC53DB">
        <w:trPr>
          <w:trHeight w:val="282"/>
        </w:trPr>
        <w:tc>
          <w:tcPr>
            <w:tcW w:w="2245" w:type="dxa"/>
            <w:gridSpan w:val="2"/>
            <w:shd w:val="clear" w:color="auto" w:fill="auto"/>
            <w:tcMar>
              <w:top w:w="15" w:type="dxa"/>
              <w:left w:w="15" w:type="dxa"/>
              <w:bottom w:w="0" w:type="dxa"/>
              <w:right w:w="15" w:type="dxa"/>
            </w:tcMar>
            <w:vAlign w:val="center"/>
            <w:hideMark/>
          </w:tcPr>
          <w:p w14:paraId="08A06259"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Heart disease - composite</w:t>
            </w:r>
            <w:r w:rsidRPr="001C37E4">
              <w:rPr>
                <w:rFonts w:ascii="Arial" w:eastAsia="Times New Roman" w:hAnsi="Arial"/>
                <w:position w:val="6"/>
                <w:sz w:val="16"/>
                <w:szCs w:val="16"/>
                <w:vertAlign w:val="superscript"/>
              </w:rPr>
              <w:t>a</w:t>
            </w:r>
            <w:r w:rsidRPr="001C37E4">
              <w:rPr>
                <w:rFonts w:ascii="Arial" w:eastAsia="Times New Roman" w:hAnsi="Arial"/>
                <w:sz w:val="16"/>
                <w:szCs w:val="16"/>
              </w:rPr>
              <w:t>, n (%)</w:t>
            </w:r>
          </w:p>
        </w:tc>
        <w:tc>
          <w:tcPr>
            <w:tcW w:w="1551" w:type="dxa"/>
            <w:shd w:val="clear" w:color="auto" w:fill="auto"/>
            <w:tcMar>
              <w:top w:w="15" w:type="dxa"/>
              <w:left w:w="15" w:type="dxa"/>
              <w:bottom w:w="0" w:type="dxa"/>
              <w:right w:w="15" w:type="dxa"/>
            </w:tcMar>
            <w:vAlign w:val="center"/>
            <w:hideMark/>
          </w:tcPr>
          <w:p w14:paraId="0BE9AB4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12 (8.8)</w:t>
            </w:r>
          </w:p>
        </w:tc>
        <w:tc>
          <w:tcPr>
            <w:tcW w:w="1473" w:type="dxa"/>
            <w:shd w:val="clear" w:color="auto" w:fill="auto"/>
            <w:tcMar>
              <w:top w:w="15" w:type="dxa"/>
              <w:left w:w="15" w:type="dxa"/>
              <w:bottom w:w="0" w:type="dxa"/>
              <w:right w:w="15" w:type="dxa"/>
            </w:tcMar>
            <w:vAlign w:val="center"/>
            <w:hideMark/>
          </w:tcPr>
          <w:p w14:paraId="1E5D80F1"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19 (7.2)</w:t>
            </w:r>
          </w:p>
        </w:tc>
        <w:tc>
          <w:tcPr>
            <w:tcW w:w="688" w:type="dxa"/>
            <w:shd w:val="clear" w:color="auto" w:fill="auto"/>
            <w:tcMar>
              <w:top w:w="15" w:type="dxa"/>
              <w:left w:w="15" w:type="dxa"/>
              <w:bottom w:w="0" w:type="dxa"/>
              <w:right w:w="15" w:type="dxa"/>
            </w:tcMar>
            <w:vAlign w:val="center"/>
            <w:hideMark/>
          </w:tcPr>
          <w:p w14:paraId="04285A79"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0.059</w:t>
            </w:r>
          </w:p>
        </w:tc>
        <w:tc>
          <w:tcPr>
            <w:tcW w:w="1475" w:type="dxa"/>
            <w:shd w:val="clear" w:color="auto" w:fill="auto"/>
            <w:tcMar>
              <w:top w:w="15" w:type="dxa"/>
              <w:left w:w="15" w:type="dxa"/>
              <w:bottom w:w="0" w:type="dxa"/>
              <w:right w:w="15" w:type="dxa"/>
            </w:tcMar>
            <w:vAlign w:val="center"/>
            <w:hideMark/>
          </w:tcPr>
          <w:p w14:paraId="1B237AEC"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10 (8.8)</w:t>
            </w:r>
          </w:p>
        </w:tc>
        <w:tc>
          <w:tcPr>
            <w:tcW w:w="697" w:type="dxa"/>
            <w:shd w:val="clear" w:color="auto" w:fill="auto"/>
            <w:tcMar>
              <w:top w:w="15" w:type="dxa"/>
              <w:left w:w="15" w:type="dxa"/>
              <w:bottom w:w="0" w:type="dxa"/>
              <w:right w:w="15" w:type="dxa"/>
            </w:tcMar>
            <w:vAlign w:val="center"/>
            <w:hideMark/>
          </w:tcPr>
          <w:p w14:paraId="3B2F7498"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00B050"/>
                <w:sz w:val="16"/>
                <w:szCs w:val="16"/>
              </w:rPr>
              <w:t>0.002</w:t>
            </w:r>
          </w:p>
        </w:tc>
        <w:tc>
          <w:tcPr>
            <w:tcW w:w="1476" w:type="dxa"/>
            <w:shd w:val="clear" w:color="auto" w:fill="auto"/>
            <w:tcMar>
              <w:top w:w="15" w:type="dxa"/>
              <w:left w:w="15" w:type="dxa"/>
              <w:bottom w:w="0" w:type="dxa"/>
              <w:right w:w="15" w:type="dxa"/>
            </w:tcMar>
            <w:vAlign w:val="center"/>
            <w:hideMark/>
          </w:tcPr>
          <w:p w14:paraId="2698C24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9 (6.0)</w:t>
            </w:r>
          </w:p>
        </w:tc>
        <w:tc>
          <w:tcPr>
            <w:tcW w:w="697" w:type="dxa"/>
            <w:shd w:val="clear" w:color="auto" w:fill="auto"/>
            <w:tcMar>
              <w:top w:w="15" w:type="dxa"/>
              <w:left w:w="15" w:type="dxa"/>
              <w:bottom w:w="0" w:type="dxa"/>
              <w:right w:w="15" w:type="dxa"/>
            </w:tcMar>
            <w:vAlign w:val="center"/>
            <w:hideMark/>
          </w:tcPr>
          <w:p w14:paraId="4D6246E8"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ED8B00"/>
                <w:sz w:val="16"/>
                <w:szCs w:val="16"/>
              </w:rPr>
              <w:t>0.106</w:t>
            </w:r>
          </w:p>
        </w:tc>
      </w:tr>
      <w:tr w:rsidR="001C37E4" w:rsidRPr="001C37E4" w14:paraId="70467AC7" w14:textId="77777777" w:rsidTr="00EC53DB">
        <w:trPr>
          <w:trHeight w:val="512"/>
        </w:trPr>
        <w:tc>
          <w:tcPr>
            <w:tcW w:w="2245" w:type="dxa"/>
            <w:gridSpan w:val="2"/>
            <w:shd w:val="clear" w:color="auto" w:fill="auto"/>
            <w:tcMar>
              <w:top w:w="15" w:type="dxa"/>
              <w:left w:w="15" w:type="dxa"/>
              <w:bottom w:w="0" w:type="dxa"/>
              <w:right w:w="15" w:type="dxa"/>
            </w:tcMar>
            <w:vAlign w:val="center"/>
            <w:hideMark/>
          </w:tcPr>
          <w:p w14:paraId="16723565"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Thromboembolic event - composite</w:t>
            </w:r>
            <w:r w:rsidRPr="001C37E4">
              <w:rPr>
                <w:rFonts w:ascii="Arial" w:eastAsia="Times New Roman" w:hAnsi="Arial"/>
                <w:position w:val="6"/>
                <w:sz w:val="16"/>
                <w:szCs w:val="16"/>
                <w:vertAlign w:val="superscript"/>
              </w:rPr>
              <w:t>b</w:t>
            </w:r>
            <w:r w:rsidRPr="001C37E4">
              <w:rPr>
                <w:rFonts w:ascii="Arial" w:eastAsia="Times New Roman" w:hAnsi="Arial"/>
                <w:sz w:val="16"/>
                <w:szCs w:val="16"/>
              </w:rPr>
              <w:t>, n (%)</w:t>
            </w:r>
          </w:p>
        </w:tc>
        <w:tc>
          <w:tcPr>
            <w:tcW w:w="1551" w:type="dxa"/>
            <w:shd w:val="clear" w:color="auto" w:fill="auto"/>
            <w:tcMar>
              <w:top w:w="15" w:type="dxa"/>
              <w:left w:w="15" w:type="dxa"/>
              <w:bottom w:w="0" w:type="dxa"/>
              <w:right w:w="15" w:type="dxa"/>
            </w:tcMar>
            <w:vAlign w:val="center"/>
            <w:hideMark/>
          </w:tcPr>
          <w:p w14:paraId="3677184B"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15 (11.0)</w:t>
            </w:r>
          </w:p>
        </w:tc>
        <w:tc>
          <w:tcPr>
            <w:tcW w:w="1473" w:type="dxa"/>
            <w:shd w:val="clear" w:color="auto" w:fill="auto"/>
            <w:tcMar>
              <w:top w:w="15" w:type="dxa"/>
              <w:left w:w="15" w:type="dxa"/>
              <w:bottom w:w="0" w:type="dxa"/>
              <w:right w:w="15" w:type="dxa"/>
            </w:tcMar>
            <w:vAlign w:val="center"/>
            <w:hideMark/>
          </w:tcPr>
          <w:p w14:paraId="11EBBC5B"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16 (6.1)</w:t>
            </w:r>
          </w:p>
        </w:tc>
        <w:tc>
          <w:tcPr>
            <w:tcW w:w="688" w:type="dxa"/>
            <w:shd w:val="clear" w:color="auto" w:fill="auto"/>
            <w:tcMar>
              <w:top w:w="15" w:type="dxa"/>
              <w:left w:w="15" w:type="dxa"/>
              <w:bottom w:w="0" w:type="dxa"/>
              <w:right w:w="15" w:type="dxa"/>
            </w:tcMar>
            <w:vAlign w:val="center"/>
            <w:hideMark/>
          </w:tcPr>
          <w:p w14:paraId="1BA5B0FF"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0.178</w:t>
            </w:r>
          </w:p>
        </w:tc>
        <w:tc>
          <w:tcPr>
            <w:tcW w:w="1475" w:type="dxa"/>
            <w:shd w:val="clear" w:color="auto" w:fill="auto"/>
            <w:tcMar>
              <w:top w:w="15" w:type="dxa"/>
              <w:left w:w="15" w:type="dxa"/>
              <w:bottom w:w="0" w:type="dxa"/>
              <w:right w:w="15" w:type="dxa"/>
            </w:tcMar>
            <w:vAlign w:val="center"/>
            <w:hideMark/>
          </w:tcPr>
          <w:p w14:paraId="3E83FA7B"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 (5.3)</w:t>
            </w:r>
          </w:p>
        </w:tc>
        <w:tc>
          <w:tcPr>
            <w:tcW w:w="697" w:type="dxa"/>
            <w:shd w:val="clear" w:color="auto" w:fill="auto"/>
            <w:tcMar>
              <w:top w:w="15" w:type="dxa"/>
              <w:left w:w="15" w:type="dxa"/>
              <w:bottom w:w="0" w:type="dxa"/>
              <w:right w:w="15" w:type="dxa"/>
            </w:tcMar>
            <w:vAlign w:val="center"/>
            <w:hideMark/>
          </w:tcPr>
          <w:p w14:paraId="682D2456"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0.212</w:t>
            </w:r>
          </w:p>
        </w:tc>
        <w:tc>
          <w:tcPr>
            <w:tcW w:w="1476" w:type="dxa"/>
            <w:shd w:val="clear" w:color="auto" w:fill="auto"/>
            <w:tcMar>
              <w:top w:w="15" w:type="dxa"/>
              <w:left w:w="15" w:type="dxa"/>
              <w:bottom w:w="0" w:type="dxa"/>
              <w:right w:w="15" w:type="dxa"/>
            </w:tcMar>
            <w:vAlign w:val="center"/>
            <w:hideMark/>
          </w:tcPr>
          <w:p w14:paraId="26D7E769"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10 (6.7)</w:t>
            </w:r>
          </w:p>
        </w:tc>
        <w:tc>
          <w:tcPr>
            <w:tcW w:w="697" w:type="dxa"/>
            <w:shd w:val="clear" w:color="auto" w:fill="auto"/>
            <w:tcMar>
              <w:top w:w="15" w:type="dxa"/>
              <w:left w:w="15" w:type="dxa"/>
              <w:bottom w:w="0" w:type="dxa"/>
              <w:right w:w="15" w:type="dxa"/>
            </w:tcMar>
            <w:vAlign w:val="center"/>
            <w:hideMark/>
          </w:tcPr>
          <w:p w14:paraId="43D57DC3"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0.152</w:t>
            </w:r>
          </w:p>
        </w:tc>
      </w:tr>
      <w:tr w:rsidR="001C37E4" w:rsidRPr="001C37E4" w14:paraId="010A36AC" w14:textId="77777777" w:rsidTr="00EC53DB">
        <w:trPr>
          <w:trHeight w:val="282"/>
        </w:trPr>
        <w:tc>
          <w:tcPr>
            <w:tcW w:w="2245" w:type="dxa"/>
            <w:gridSpan w:val="2"/>
            <w:shd w:val="clear" w:color="auto" w:fill="auto"/>
            <w:tcMar>
              <w:top w:w="15" w:type="dxa"/>
              <w:left w:w="15" w:type="dxa"/>
              <w:bottom w:w="0" w:type="dxa"/>
              <w:right w:w="15" w:type="dxa"/>
            </w:tcMar>
            <w:vAlign w:val="center"/>
            <w:hideMark/>
          </w:tcPr>
          <w:p w14:paraId="5AE1156F"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Other arrhythmia - composite</w:t>
            </w:r>
            <w:r w:rsidRPr="001C37E4">
              <w:rPr>
                <w:rFonts w:ascii="Arial" w:eastAsia="Times New Roman" w:hAnsi="Arial"/>
                <w:position w:val="6"/>
                <w:sz w:val="16"/>
                <w:szCs w:val="16"/>
                <w:vertAlign w:val="superscript"/>
              </w:rPr>
              <w:t>c</w:t>
            </w:r>
            <w:r w:rsidRPr="001C37E4">
              <w:rPr>
                <w:rFonts w:ascii="Arial" w:eastAsia="Times New Roman" w:hAnsi="Arial"/>
                <w:sz w:val="16"/>
                <w:szCs w:val="16"/>
              </w:rPr>
              <w:t>, n (%)</w:t>
            </w:r>
          </w:p>
        </w:tc>
        <w:tc>
          <w:tcPr>
            <w:tcW w:w="1551" w:type="dxa"/>
            <w:shd w:val="clear" w:color="auto" w:fill="auto"/>
            <w:tcMar>
              <w:top w:w="15" w:type="dxa"/>
              <w:left w:w="15" w:type="dxa"/>
              <w:bottom w:w="0" w:type="dxa"/>
              <w:right w:w="15" w:type="dxa"/>
            </w:tcMar>
            <w:vAlign w:val="center"/>
            <w:hideMark/>
          </w:tcPr>
          <w:p w14:paraId="080027F5"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38 (27.9)</w:t>
            </w:r>
          </w:p>
        </w:tc>
        <w:tc>
          <w:tcPr>
            <w:tcW w:w="1473" w:type="dxa"/>
            <w:shd w:val="clear" w:color="auto" w:fill="auto"/>
            <w:tcMar>
              <w:top w:w="15" w:type="dxa"/>
              <w:left w:w="15" w:type="dxa"/>
              <w:bottom w:w="0" w:type="dxa"/>
              <w:right w:w="15" w:type="dxa"/>
            </w:tcMar>
            <w:vAlign w:val="center"/>
            <w:hideMark/>
          </w:tcPr>
          <w:p w14:paraId="0909934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92 (35.0)</w:t>
            </w:r>
          </w:p>
        </w:tc>
        <w:tc>
          <w:tcPr>
            <w:tcW w:w="688" w:type="dxa"/>
            <w:shd w:val="clear" w:color="auto" w:fill="auto"/>
            <w:tcMar>
              <w:top w:w="15" w:type="dxa"/>
              <w:left w:w="15" w:type="dxa"/>
              <w:bottom w:w="0" w:type="dxa"/>
              <w:right w:w="15" w:type="dxa"/>
            </w:tcMar>
            <w:vAlign w:val="center"/>
            <w:hideMark/>
          </w:tcPr>
          <w:p w14:paraId="4F65051B"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0.152</w:t>
            </w:r>
          </w:p>
        </w:tc>
        <w:tc>
          <w:tcPr>
            <w:tcW w:w="1475" w:type="dxa"/>
            <w:shd w:val="clear" w:color="auto" w:fill="auto"/>
            <w:tcMar>
              <w:top w:w="15" w:type="dxa"/>
              <w:left w:w="15" w:type="dxa"/>
              <w:bottom w:w="0" w:type="dxa"/>
              <w:right w:w="15" w:type="dxa"/>
            </w:tcMar>
            <w:vAlign w:val="center"/>
            <w:hideMark/>
          </w:tcPr>
          <w:p w14:paraId="7181BA9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42 (36.8)</w:t>
            </w:r>
          </w:p>
        </w:tc>
        <w:tc>
          <w:tcPr>
            <w:tcW w:w="697" w:type="dxa"/>
            <w:shd w:val="clear" w:color="auto" w:fill="auto"/>
            <w:tcMar>
              <w:top w:w="15" w:type="dxa"/>
              <w:left w:w="15" w:type="dxa"/>
              <w:bottom w:w="0" w:type="dxa"/>
              <w:right w:w="15" w:type="dxa"/>
            </w:tcMar>
            <w:vAlign w:val="center"/>
            <w:hideMark/>
          </w:tcPr>
          <w:p w14:paraId="18E12920"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0.191</w:t>
            </w:r>
          </w:p>
        </w:tc>
        <w:tc>
          <w:tcPr>
            <w:tcW w:w="1476" w:type="dxa"/>
            <w:shd w:val="clear" w:color="auto" w:fill="auto"/>
            <w:tcMar>
              <w:top w:w="15" w:type="dxa"/>
              <w:left w:w="15" w:type="dxa"/>
              <w:bottom w:w="0" w:type="dxa"/>
              <w:right w:w="15" w:type="dxa"/>
            </w:tcMar>
            <w:vAlign w:val="center"/>
            <w:hideMark/>
          </w:tcPr>
          <w:p w14:paraId="10F36F7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50 (33.6)</w:t>
            </w:r>
          </w:p>
        </w:tc>
        <w:tc>
          <w:tcPr>
            <w:tcW w:w="697" w:type="dxa"/>
            <w:shd w:val="clear" w:color="auto" w:fill="auto"/>
            <w:tcMar>
              <w:top w:w="15" w:type="dxa"/>
              <w:left w:w="15" w:type="dxa"/>
              <w:bottom w:w="0" w:type="dxa"/>
              <w:right w:w="15" w:type="dxa"/>
            </w:tcMar>
            <w:vAlign w:val="center"/>
            <w:hideMark/>
          </w:tcPr>
          <w:p w14:paraId="6608F775"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0.122</w:t>
            </w:r>
          </w:p>
        </w:tc>
      </w:tr>
      <w:tr w:rsidR="001C37E4" w:rsidRPr="001C37E4" w14:paraId="6C073946" w14:textId="77777777" w:rsidTr="00EC53DB">
        <w:trPr>
          <w:trHeight w:val="563"/>
        </w:trPr>
        <w:tc>
          <w:tcPr>
            <w:tcW w:w="2245" w:type="dxa"/>
            <w:gridSpan w:val="2"/>
            <w:shd w:val="clear" w:color="auto" w:fill="auto"/>
            <w:tcMar>
              <w:top w:w="15" w:type="dxa"/>
              <w:left w:w="15" w:type="dxa"/>
              <w:bottom w:w="0" w:type="dxa"/>
              <w:right w:w="15" w:type="dxa"/>
            </w:tcMar>
            <w:vAlign w:val="center"/>
            <w:hideMark/>
          </w:tcPr>
          <w:p w14:paraId="7FE01EED"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Ablation procedure within 1 year prior to enrollment, n (%)</w:t>
            </w:r>
          </w:p>
        </w:tc>
        <w:tc>
          <w:tcPr>
            <w:tcW w:w="1551" w:type="dxa"/>
            <w:shd w:val="clear" w:color="auto" w:fill="auto"/>
            <w:tcMar>
              <w:top w:w="15" w:type="dxa"/>
              <w:left w:w="15" w:type="dxa"/>
              <w:bottom w:w="0" w:type="dxa"/>
              <w:right w:w="15" w:type="dxa"/>
            </w:tcMar>
            <w:vAlign w:val="center"/>
            <w:hideMark/>
          </w:tcPr>
          <w:p w14:paraId="540F5E0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 (2.2)</w:t>
            </w:r>
          </w:p>
        </w:tc>
        <w:tc>
          <w:tcPr>
            <w:tcW w:w="1473" w:type="dxa"/>
            <w:shd w:val="clear" w:color="auto" w:fill="auto"/>
            <w:tcMar>
              <w:top w:w="15" w:type="dxa"/>
              <w:left w:w="15" w:type="dxa"/>
              <w:bottom w:w="0" w:type="dxa"/>
              <w:right w:w="15" w:type="dxa"/>
            </w:tcMar>
            <w:vAlign w:val="center"/>
            <w:hideMark/>
          </w:tcPr>
          <w:p w14:paraId="6C967E77"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10 (3.8)</w:t>
            </w:r>
          </w:p>
        </w:tc>
        <w:tc>
          <w:tcPr>
            <w:tcW w:w="688" w:type="dxa"/>
            <w:shd w:val="clear" w:color="auto" w:fill="auto"/>
            <w:tcMar>
              <w:top w:w="15" w:type="dxa"/>
              <w:left w:w="15" w:type="dxa"/>
              <w:bottom w:w="0" w:type="dxa"/>
              <w:right w:w="15" w:type="dxa"/>
            </w:tcMar>
            <w:vAlign w:val="center"/>
            <w:hideMark/>
          </w:tcPr>
          <w:p w14:paraId="647E9237"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0.094</w:t>
            </w:r>
          </w:p>
        </w:tc>
        <w:tc>
          <w:tcPr>
            <w:tcW w:w="1475" w:type="dxa"/>
            <w:shd w:val="clear" w:color="auto" w:fill="auto"/>
            <w:tcMar>
              <w:top w:w="15" w:type="dxa"/>
              <w:left w:w="15" w:type="dxa"/>
              <w:bottom w:w="0" w:type="dxa"/>
              <w:right w:w="15" w:type="dxa"/>
            </w:tcMar>
            <w:vAlign w:val="center"/>
            <w:hideMark/>
          </w:tcPr>
          <w:p w14:paraId="66BC32E7"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2 (1.8)</w:t>
            </w:r>
          </w:p>
        </w:tc>
        <w:tc>
          <w:tcPr>
            <w:tcW w:w="697" w:type="dxa"/>
            <w:shd w:val="clear" w:color="auto" w:fill="auto"/>
            <w:tcMar>
              <w:top w:w="15" w:type="dxa"/>
              <w:left w:w="15" w:type="dxa"/>
              <w:bottom w:w="0" w:type="dxa"/>
              <w:right w:w="15" w:type="dxa"/>
            </w:tcMar>
            <w:vAlign w:val="center"/>
            <w:hideMark/>
          </w:tcPr>
          <w:p w14:paraId="5CF9A979"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00B050"/>
                <w:sz w:val="16"/>
                <w:szCs w:val="16"/>
              </w:rPr>
              <w:t>0.032</w:t>
            </w:r>
          </w:p>
        </w:tc>
        <w:tc>
          <w:tcPr>
            <w:tcW w:w="1476" w:type="dxa"/>
            <w:shd w:val="clear" w:color="auto" w:fill="auto"/>
            <w:tcMar>
              <w:top w:w="15" w:type="dxa"/>
              <w:left w:w="15" w:type="dxa"/>
              <w:bottom w:w="0" w:type="dxa"/>
              <w:right w:w="15" w:type="dxa"/>
            </w:tcMar>
            <w:vAlign w:val="center"/>
            <w:hideMark/>
          </w:tcPr>
          <w:p w14:paraId="70E773D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8 (5.4)</w:t>
            </w:r>
          </w:p>
        </w:tc>
        <w:tc>
          <w:tcPr>
            <w:tcW w:w="697" w:type="dxa"/>
            <w:shd w:val="clear" w:color="auto" w:fill="auto"/>
            <w:tcMar>
              <w:top w:w="15" w:type="dxa"/>
              <w:left w:w="15" w:type="dxa"/>
              <w:bottom w:w="0" w:type="dxa"/>
              <w:right w:w="15" w:type="dxa"/>
            </w:tcMar>
            <w:vAlign w:val="center"/>
            <w:hideMark/>
          </w:tcPr>
          <w:p w14:paraId="7A5362EE"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ED8B00"/>
                <w:sz w:val="16"/>
                <w:szCs w:val="16"/>
              </w:rPr>
              <w:t>0.166</w:t>
            </w:r>
          </w:p>
        </w:tc>
      </w:tr>
      <w:tr w:rsidR="001C37E4" w:rsidRPr="001C37E4" w14:paraId="20F9D120" w14:textId="77777777" w:rsidTr="00EC53DB">
        <w:trPr>
          <w:trHeight w:val="282"/>
        </w:trPr>
        <w:tc>
          <w:tcPr>
            <w:tcW w:w="1202" w:type="dxa"/>
            <w:vMerge w:val="restart"/>
            <w:shd w:val="clear" w:color="auto" w:fill="auto"/>
            <w:tcMar>
              <w:top w:w="15" w:type="dxa"/>
              <w:left w:w="15" w:type="dxa"/>
              <w:bottom w:w="0" w:type="dxa"/>
              <w:right w:w="15" w:type="dxa"/>
            </w:tcMar>
            <w:vAlign w:val="center"/>
            <w:hideMark/>
          </w:tcPr>
          <w:p w14:paraId="6C2D1329"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Age</w:t>
            </w:r>
          </w:p>
        </w:tc>
        <w:tc>
          <w:tcPr>
            <w:tcW w:w="1043" w:type="dxa"/>
            <w:shd w:val="clear" w:color="auto" w:fill="auto"/>
            <w:tcMar>
              <w:top w:w="15" w:type="dxa"/>
              <w:left w:w="15" w:type="dxa"/>
              <w:bottom w:w="0" w:type="dxa"/>
              <w:right w:w="15" w:type="dxa"/>
            </w:tcMar>
            <w:vAlign w:val="center"/>
            <w:hideMark/>
          </w:tcPr>
          <w:p w14:paraId="1844F8EB"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mean (SD)</w:t>
            </w:r>
          </w:p>
        </w:tc>
        <w:tc>
          <w:tcPr>
            <w:tcW w:w="1551" w:type="dxa"/>
            <w:shd w:val="clear" w:color="auto" w:fill="auto"/>
            <w:tcMar>
              <w:top w:w="15" w:type="dxa"/>
              <w:left w:w="15" w:type="dxa"/>
              <w:bottom w:w="0" w:type="dxa"/>
              <w:right w:w="15" w:type="dxa"/>
            </w:tcMar>
            <w:vAlign w:val="center"/>
            <w:hideMark/>
          </w:tcPr>
          <w:p w14:paraId="290E0DF0"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63.17 (11.37)</w:t>
            </w:r>
          </w:p>
        </w:tc>
        <w:tc>
          <w:tcPr>
            <w:tcW w:w="1473" w:type="dxa"/>
            <w:shd w:val="clear" w:color="auto" w:fill="auto"/>
            <w:tcMar>
              <w:top w:w="15" w:type="dxa"/>
              <w:left w:w="15" w:type="dxa"/>
              <w:bottom w:w="0" w:type="dxa"/>
              <w:right w:w="15" w:type="dxa"/>
            </w:tcMar>
            <w:vAlign w:val="center"/>
            <w:hideMark/>
          </w:tcPr>
          <w:p w14:paraId="1B397D5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60.57 (10.75)</w:t>
            </w:r>
          </w:p>
        </w:tc>
        <w:tc>
          <w:tcPr>
            <w:tcW w:w="688" w:type="dxa"/>
            <w:vMerge w:val="restart"/>
            <w:shd w:val="clear" w:color="auto" w:fill="auto"/>
            <w:tcMar>
              <w:top w:w="15" w:type="dxa"/>
              <w:left w:w="15" w:type="dxa"/>
              <w:bottom w:w="0" w:type="dxa"/>
              <w:right w:w="15" w:type="dxa"/>
            </w:tcMar>
            <w:vAlign w:val="center"/>
            <w:hideMark/>
          </w:tcPr>
          <w:p w14:paraId="078B3613"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0.234</w:t>
            </w:r>
          </w:p>
        </w:tc>
        <w:tc>
          <w:tcPr>
            <w:tcW w:w="1475" w:type="dxa"/>
            <w:shd w:val="clear" w:color="auto" w:fill="auto"/>
            <w:tcMar>
              <w:top w:w="15" w:type="dxa"/>
              <w:left w:w="15" w:type="dxa"/>
              <w:bottom w:w="0" w:type="dxa"/>
              <w:right w:w="15" w:type="dxa"/>
            </w:tcMar>
            <w:vAlign w:val="center"/>
            <w:hideMark/>
          </w:tcPr>
          <w:p w14:paraId="02A62FD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57.99 (10.96)</w:t>
            </w:r>
          </w:p>
        </w:tc>
        <w:tc>
          <w:tcPr>
            <w:tcW w:w="697" w:type="dxa"/>
            <w:vMerge w:val="restart"/>
            <w:shd w:val="clear" w:color="auto" w:fill="auto"/>
            <w:tcMar>
              <w:top w:w="15" w:type="dxa"/>
              <w:left w:w="15" w:type="dxa"/>
              <w:bottom w:w="0" w:type="dxa"/>
              <w:right w:w="15" w:type="dxa"/>
            </w:tcMar>
            <w:vAlign w:val="center"/>
            <w:hideMark/>
          </w:tcPr>
          <w:p w14:paraId="3C867378"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FF0000"/>
                <w:sz w:val="16"/>
                <w:szCs w:val="16"/>
              </w:rPr>
              <w:t>0.464</w:t>
            </w:r>
          </w:p>
        </w:tc>
        <w:tc>
          <w:tcPr>
            <w:tcW w:w="1476" w:type="dxa"/>
            <w:shd w:val="clear" w:color="auto" w:fill="auto"/>
            <w:tcMar>
              <w:top w:w="15" w:type="dxa"/>
              <w:left w:w="15" w:type="dxa"/>
              <w:bottom w:w="0" w:type="dxa"/>
              <w:right w:w="15" w:type="dxa"/>
            </w:tcMar>
            <w:vAlign w:val="center"/>
            <w:hideMark/>
          </w:tcPr>
          <w:p w14:paraId="0D08A20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62.55 (10.19)</w:t>
            </w:r>
          </w:p>
        </w:tc>
        <w:tc>
          <w:tcPr>
            <w:tcW w:w="697" w:type="dxa"/>
            <w:vMerge w:val="restart"/>
            <w:shd w:val="clear" w:color="auto" w:fill="auto"/>
            <w:tcMar>
              <w:top w:w="15" w:type="dxa"/>
              <w:left w:w="15" w:type="dxa"/>
              <w:bottom w:w="0" w:type="dxa"/>
              <w:right w:w="15" w:type="dxa"/>
            </w:tcMar>
            <w:vAlign w:val="center"/>
            <w:hideMark/>
          </w:tcPr>
          <w:p w14:paraId="1F3DCD4D"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00B050"/>
                <w:sz w:val="16"/>
                <w:szCs w:val="16"/>
              </w:rPr>
              <w:t>0.057</w:t>
            </w:r>
          </w:p>
        </w:tc>
      </w:tr>
      <w:tr w:rsidR="001C37E4" w:rsidRPr="001C37E4" w14:paraId="40545219" w14:textId="77777777" w:rsidTr="00EC53DB">
        <w:trPr>
          <w:trHeight w:val="282"/>
        </w:trPr>
        <w:tc>
          <w:tcPr>
            <w:tcW w:w="0" w:type="auto"/>
            <w:vMerge/>
            <w:vAlign w:val="center"/>
            <w:hideMark/>
          </w:tcPr>
          <w:p w14:paraId="2AD87D69" w14:textId="77777777" w:rsidR="001C37E4" w:rsidRPr="001C37E4" w:rsidRDefault="001C37E4" w:rsidP="001C37E4">
            <w:pPr>
              <w:spacing w:after="0" w:line="240" w:lineRule="auto"/>
              <w:jc w:val="left"/>
              <w:rPr>
                <w:rFonts w:ascii="Arial" w:eastAsia="Times New Roman" w:hAnsi="Arial"/>
                <w:sz w:val="16"/>
                <w:szCs w:val="16"/>
              </w:rPr>
            </w:pPr>
          </w:p>
        </w:tc>
        <w:tc>
          <w:tcPr>
            <w:tcW w:w="1043" w:type="dxa"/>
            <w:shd w:val="clear" w:color="auto" w:fill="auto"/>
            <w:tcMar>
              <w:top w:w="15" w:type="dxa"/>
              <w:left w:w="15" w:type="dxa"/>
              <w:bottom w:w="0" w:type="dxa"/>
              <w:right w:w="15" w:type="dxa"/>
            </w:tcMar>
            <w:vAlign w:val="center"/>
            <w:hideMark/>
          </w:tcPr>
          <w:p w14:paraId="4E4FF53E"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median [IQR]</w:t>
            </w:r>
          </w:p>
        </w:tc>
        <w:tc>
          <w:tcPr>
            <w:tcW w:w="1551" w:type="dxa"/>
            <w:shd w:val="clear" w:color="auto" w:fill="auto"/>
            <w:tcMar>
              <w:top w:w="15" w:type="dxa"/>
              <w:left w:w="15" w:type="dxa"/>
              <w:bottom w:w="0" w:type="dxa"/>
              <w:right w:w="15" w:type="dxa"/>
            </w:tcMar>
            <w:vAlign w:val="center"/>
            <w:hideMark/>
          </w:tcPr>
          <w:p w14:paraId="6C802C07"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66.00 [57.00, 71.00]</w:t>
            </w:r>
          </w:p>
        </w:tc>
        <w:tc>
          <w:tcPr>
            <w:tcW w:w="1473" w:type="dxa"/>
            <w:shd w:val="clear" w:color="auto" w:fill="auto"/>
            <w:tcMar>
              <w:top w:w="15" w:type="dxa"/>
              <w:left w:w="15" w:type="dxa"/>
              <w:bottom w:w="0" w:type="dxa"/>
              <w:right w:w="15" w:type="dxa"/>
            </w:tcMar>
            <w:vAlign w:val="center"/>
            <w:hideMark/>
          </w:tcPr>
          <w:p w14:paraId="0C2606F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61.00 [53.00, 68.50]</w:t>
            </w:r>
          </w:p>
        </w:tc>
        <w:tc>
          <w:tcPr>
            <w:tcW w:w="0" w:type="auto"/>
            <w:vMerge/>
            <w:vAlign w:val="center"/>
            <w:hideMark/>
          </w:tcPr>
          <w:p w14:paraId="29E55C3D" w14:textId="77777777" w:rsidR="001C37E4" w:rsidRPr="001C37E4" w:rsidRDefault="001C37E4" w:rsidP="001C37E4">
            <w:pPr>
              <w:spacing w:after="0" w:line="240" w:lineRule="auto"/>
              <w:jc w:val="left"/>
              <w:rPr>
                <w:rFonts w:ascii="Arial" w:eastAsia="Times New Roman" w:hAnsi="Arial"/>
                <w:b/>
                <w:sz w:val="16"/>
                <w:szCs w:val="16"/>
              </w:rPr>
            </w:pPr>
          </w:p>
        </w:tc>
        <w:tc>
          <w:tcPr>
            <w:tcW w:w="1475" w:type="dxa"/>
            <w:shd w:val="clear" w:color="auto" w:fill="auto"/>
            <w:tcMar>
              <w:top w:w="15" w:type="dxa"/>
              <w:left w:w="15" w:type="dxa"/>
              <w:bottom w:w="0" w:type="dxa"/>
              <w:right w:w="15" w:type="dxa"/>
            </w:tcMar>
            <w:vAlign w:val="center"/>
            <w:hideMark/>
          </w:tcPr>
          <w:p w14:paraId="5F106055"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59.00 [51.25, 66.00]</w:t>
            </w:r>
          </w:p>
        </w:tc>
        <w:tc>
          <w:tcPr>
            <w:tcW w:w="0" w:type="auto"/>
            <w:vMerge/>
            <w:vAlign w:val="center"/>
            <w:hideMark/>
          </w:tcPr>
          <w:p w14:paraId="124C845C"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6" w:type="dxa"/>
            <w:shd w:val="clear" w:color="auto" w:fill="auto"/>
            <w:tcMar>
              <w:top w:w="15" w:type="dxa"/>
              <w:left w:w="15" w:type="dxa"/>
              <w:bottom w:w="0" w:type="dxa"/>
              <w:right w:w="15" w:type="dxa"/>
            </w:tcMar>
            <w:vAlign w:val="center"/>
            <w:hideMark/>
          </w:tcPr>
          <w:p w14:paraId="1C7E6AFB"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64.00 [55.00, 71.00]</w:t>
            </w:r>
          </w:p>
        </w:tc>
        <w:tc>
          <w:tcPr>
            <w:tcW w:w="0" w:type="auto"/>
            <w:vMerge/>
            <w:vAlign w:val="center"/>
            <w:hideMark/>
          </w:tcPr>
          <w:p w14:paraId="38DAE372" w14:textId="77777777" w:rsidR="001C37E4" w:rsidRPr="001C37E4" w:rsidRDefault="001C37E4" w:rsidP="001C37E4">
            <w:pPr>
              <w:spacing w:after="0" w:line="240" w:lineRule="auto"/>
              <w:jc w:val="left"/>
              <w:rPr>
                <w:rFonts w:ascii="Arial" w:eastAsia="Times New Roman" w:hAnsi="Arial"/>
                <w:b/>
                <w:sz w:val="16"/>
                <w:szCs w:val="16"/>
              </w:rPr>
            </w:pPr>
          </w:p>
        </w:tc>
      </w:tr>
      <w:tr w:rsidR="001C37E4" w:rsidRPr="001C37E4" w14:paraId="58F467EB" w14:textId="77777777" w:rsidTr="00EC53DB">
        <w:trPr>
          <w:trHeight w:val="282"/>
        </w:trPr>
        <w:tc>
          <w:tcPr>
            <w:tcW w:w="0" w:type="auto"/>
            <w:vMerge/>
            <w:vAlign w:val="center"/>
            <w:hideMark/>
          </w:tcPr>
          <w:p w14:paraId="7DDE6012" w14:textId="77777777" w:rsidR="001C37E4" w:rsidRPr="001C37E4" w:rsidRDefault="001C37E4" w:rsidP="001C37E4">
            <w:pPr>
              <w:spacing w:after="0" w:line="240" w:lineRule="auto"/>
              <w:jc w:val="left"/>
              <w:rPr>
                <w:rFonts w:ascii="Arial" w:eastAsia="Times New Roman" w:hAnsi="Arial"/>
                <w:sz w:val="16"/>
                <w:szCs w:val="16"/>
              </w:rPr>
            </w:pPr>
          </w:p>
        </w:tc>
        <w:tc>
          <w:tcPr>
            <w:tcW w:w="1043" w:type="dxa"/>
            <w:shd w:val="clear" w:color="auto" w:fill="auto"/>
            <w:tcMar>
              <w:top w:w="15" w:type="dxa"/>
              <w:left w:w="15" w:type="dxa"/>
              <w:bottom w:w="0" w:type="dxa"/>
              <w:right w:w="15" w:type="dxa"/>
            </w:tcMar>
            <w:vAlign w:val="center"/>
            <w:hideMark/>
          </w:tcPr>
          <w:p w14:paraId="57188E52"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median [range]</w:t>
            </w:r>
          </w:p>
        </w:tc>
        <w:tc>
          <w:tcPr>
            <w:tcW w:w="1551" w:type="dxa"/>
            <w:shd w:val="clear" w:color="auto" w:fill="auto"/>
            <w:tcMar>
              <w:top w:w="15" w:type="dxa"/>
              <w:left w:w="15" w:type="dxa"/>
              <w:bottom w:w="0" w:type="dxa"/>
              <w:right w:w="15" w:type="dxa"/>
            </w:tcMar>
            <w:vAlign w:val="center"/>
            <w:hideMark/>
          </w:tcPr>
          <w:p w14:paraId="6418BC5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66.00 [24.00, 81.00]</w:t>
            </w:r>
          </w:p>
        </w:tc>
        <w:tc>
          <w:tcPr>
            <w:tcW w:w="1473" w:type="dxa"/>
            <w:shd w:val="clear" w:color="auto" w:fill="auto"/>
            <w:tcMar>
              <w:top w:w="15" w:type="dxa"/>
              <w:left w:w="15" w:type="dxa"/>
              <w:bottom w:w="0" w:type="dxa"/>
              <w:right w:w="15" w:type="dxa"/>
            </w:tcMar>
            <w:vAlign w:val="center"/>
            <w:hideMark/>
          </w:tcPr>
          <w:p w14:paraId="23FDA282"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61.00 [25.00, 83.00]</w:t>
            </w:r>
          </w:p>
        </w:tc>
        <w:tc>
          <w:tcPr>
            <w:tcW w:w="0" w:type="auto"/>
            <w:vMerge/>
            <w:vAlign w:val="center"/>
            <w:hideMark/>
          </w:tcPr>
          <w:p w14:paraId="54500D59" w14:textId="77777777" w:rsidR="001C37E4" w:rsidRPr="001C37E4" w:rsidRDefault="001C37E4" w:rsidP="001C37E4">
            <w:pPr>
              <w:spacing w:after="0" w:line="240" w:lineRule="auto"/>
              <w:jc w:val="left"/>
              <w:rPr>
                <w:rFonts w:ascii="Arial" w:eastAsia="Times New Roman" w:hAnsi="Arial"/>
                <w:b/>
                <w:sz w:val="16"/>
                <w:szCs w:val="16"/>
              </w:rPr>
            </w:pPr>
          </w:p>
        </w:tc>
        <w:tc>
          <w:tcPr>
            <w:tcW w:w="1475" w:type="dxa"/>
            <w:shd w:val="clear" w:color="auto" w:fill="auto"/>
            <w:tcMar>
              <w:top w:w="15" w:type="dxa"/>
              <w:left w:w="15" w:type="dxa"/>
              <w:bottom w:w="0" w:type="dxa"/>
              <w:right w:w="15" w:type="dxa"/>
            </w:tcMar>
            <w:vAlign w:val="center"/>
            <w:hideMark/>
          </w:tcPr>
          <w:p w14:paraId="1E1CEB0C"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59.00 [25.00, 77.00]</w:t>
            </w:r>
          </w:p>
        </w:tc>
        <w:tc>
          <w:tcPr>
            <w:tcW w:w="0" w:type="auto"/>
            <w:vMerge/>
            <w:vAlign w:val="center"/>
            <w:hideMark/>
          </w:tcPr>
          <w:p w14:paraId="5671EB6C"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6" w:type="dxa"/>
            <w:shd w:val="clear" w:color="auto" w:fill="auto"/>
            <w:tcMar>
              <w:top w:w="15" w:type="dxa"/>
              <w:left w:w="15" w:type="dxa"/>
              <w:bottom w:w="0" w:type="dxa"/>
              <w:right w:w="15" w:type="dxa"/>
            </w:tcMar>
            <w:vAlign w:val="center"/>
            <w:hideMark/>
          </w:tcPr>
          <w:p w14:paraId="6B6173A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64.00 [35.00, 83.00]</w:t>
            </w:r>
          </w:p>
        </w:tc>
        <w:tc>
          <w:tcPr>
            <w:tcW w:w="0" w:type="auto"/>
            <w:vMerge/>
            <w:vAlign w:val="center"/>
            <w:hideMark/>
          </w:tcPr>
          <w:p w14:paraId="149FFE88" w14:textId="77777777" w:rsidR="001C37E4" w:rsidRPr="001C37E4" w:rsidRDefault="001C37E4" w:rsidP="001C37E4">
            <w:pPr>
              <w:spacing w:after="0" w:line="240" w:lineRule="auto"/>
              <w:jc w:val="left"/>
              <w:rPr>
                <w:rFonts w:ascii="Arial" w:eastAsia="Times New Roman" w:hAnsi="Arial"/>
                <w:b/>
                <w:sz w:val="16"/>
                <w:szCs w:val="16"/>
              </w:rPr>
            </w:pPr>
          </w:p>
        </w:tc>
      </w:tr>
      <w:tr w:rsidR="001C37E4" w:rsidRPr="001C37E4" w14:paraId="74379699" w14:textId="77777777" w:rsidTr="00EC53DB">
        <w:trPr>
          <w:trHeight w:val="282"/>
        </w:trPr>
        <w:tc>
          <w:tcPr>
            <w:tcW w:w="1202" w:type="dxa"/>
            <w:vMerge w:val="restart"/>
            <w:shd w:val="clear" w:color="auto" w:fill="auto"/>
            <w:tcMar>
              <w:top w:w="15" w:type="dxa"/>
              <w:left w:w="15" w:type="dxa"/>
              <w:bottom w:w="0" w:type="dxa"/>
              <w:right w:w="15" w:type="dxa"/>
            </w:tcMar>
            <w:vAlign w:val="center"/>
            <w:hideMark/>
          </w:tcPr>
          <w:p w14:paraId="33438B46"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Left ventricle ejection fraction, %</w:t>
            </w:r>
          </w:p>
        </w:tc>
        <w:tc>
          <w:tcPr>
            <w:tcW w:w="1043" w:type="dxa"/>
            <w:shd w:val="clear" w:color="auto" w:fill="auto"/>
            <w:tcMar>
              <w:top w:w="15" w:type="dxa"/>
              <w:left w:w="15" w:type="dxa"/>
              <w:bottom w:w="0" w:type="dxa"/>
              <w:right w:w="15" w:type="dxa"/>
            </w:tcMar>
            <w:vAlign w:val="center"/>
            <w:hideMark/>
          </w:tcPr>
          <w:p w14:paraId="4142BB4B"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mean (SD)</w:t>
            </w:r>
          </w:p>
        </w:tc>
        <w:tc>
          <w:tcPr>
            <w:tcW w:w="1551" w:type="dxa"/>
            <w:shd w:val="clear" w:color="auto" w:fill="auto"/>
            <w:tcMar>
              <w:top w:w="15" w:type="dxa"/>
              <w:left w:w="15" w:type="dxa"/>
              <w:bottom w:w="0" w:type="dxa"/>
              <w:right w:w="15" w:type="dxa"/>
            </w:tcMar>
            <w:vAlign w:val="center"/>
            <w:hideMark/>
          </w:tcPr>
          <w:p w14:paraId="3818154C"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60.39 (7.27)</w:t>
            </w:r>
          </w:p>
        </w:tc>
        <w:tc>
          <w:tcPr>
            <w:tcW w:w="1473" w:type="dxa"/>
            <w:shd w:val="clear" w:color="auto" w:fill="auto"/>
            <w:tcMar>
              <w:top w:w="15" w:type="dxa"/>
              <w:left w:w="15" w:type="dxa"/>
              <w:bottom w:w="0" w:type="dxa"/>
              <w:right w:w="15" w:type="dxa"/>
            </w:tcMar>
            <w:vAlign w:val="center"/>
            <w:hideMark/>
          </w:tcPr>
          <w:p w14:paraId="0EF5D16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59.97 (7.32)</w:t>
            </w:r>
          </w:p>
        </w:tc>
        <w:tc>
          <w:tcPr>
            <w:tcW w:w="688" w:type="dxa"/>
            <w:vMerge w:val="restart"/>
            <w:shd w:val="clear" w:color="auto" w:fill="auto"/>
            <w:tcMar>
              <w:top w:w="15" w:type="dxa"/>
              <w:left w:w="15" w:type="dxa"/>
              <w:bottom w:w="0" w:type="dxa"/>
              <w:right w:w="15" w:type="dxa"/>
            </w:tcMar>
            <w:vAlign w:val="center"/>
            <w:hideMark/>
          </w:tcPr>
          <w:p w14:paraId="076F89F5"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0.058</w:t>
            </w:r>
          </w:p>
        </w:tc>
        <w:tc>
          <w:tcPr>
            <w:tcW w:w="1475" w:type="dxa"/>
            <w:shd w:val="clear" w:color="auto" w:fill="auto"/>
            <w:tcMar>
              <w:top w:w="15" w:type="dxa"/>
              <w:left w:w="15" w:type="dxa"/>
              <w:bottom w:w="0" w:type="dxa"/>
              <w:right w:w="15" w:type="dxa"/>
            </w:tcMar>
            <w:vAlign w:val="center"/>
            <w:hideMark/>
          </w:tcPr>
          <w:p w14:paraId="5D0C2331"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60.26 (7.96)</w:t>
            </w:r>
          </w:p>
        </w:tc>
        <w:tc>
          <w:tcPr>
            <w:tcW w:w="697" w:type="dxa"/>
            <w:vMerge w:val="restart"/>
            <w:shd w:val="clear" w:color="auto" w:fill="auto"/>
            <w:tcMar>
              <w:top w:w="15" w:type="dxa"/>
              <w:left w:w="15" w:type="dxa"/>
              <w:bottom w:w="0" w:type="dxa"/>
              <w:right w:w="15" w:type="dxa"/>
            </w:tcMar>
            <w:vAlign w:val="center"/>
            <w:hideMark/>
          </w:tcPr>
          <w:p w14:paraId="35AEE891"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0.016</w:t>
            </w:r>
          </w:p>
        </w:tc>
        <w:tc>
          <w:tcPr>
            <w:tcW w:w="1476" w:type="dxa"/>
            <w:shd w:val="clear" w:color="auto" w:fill="auto"/>
            <w:tcMar>
              <w:top w:w="15" w:type="dxa"/>
              <w:left w:w="15" w:type="dxa"/>
              <w:bottom w:w="0" w:type="dxa"/>
              <w:right w:w="15" w:type="dxa"/>
            </w:tcMar>
            <w:vAlign w:val="center"/>
            <w:hideMark/>
          </w:tcPr>
          <w:p w14:paraId="121CCD62"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59.73 (6.78)</w:t>
            </w:r>
          </w:p>
        </w:tc>
        <w:tc>
          <w:tcPr>
            <w:tcW w:w="697" w:type="dxa"/>
            <w:vMerge w:val="restart"/>
            <w:shd w:val="clear" w:color="auto" w:fill="auto"/>
            <w:tcMar>
              <w:top w:w="15" w:type="dxa"/>
              <w:left w:w="15" w:type="dxa"/>
              <w:bottom w:w="0" w:type="dxa"/>
              <w:right w:w="15" w:type="dxa"/>
            </w:tcMar>
            <w:vAlign w:val="center"/>
            <w:hideMark/>
          </w:tcPr>
          <w:p w14:paraId="75FFDFBF"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0.093</w:t>
            </w:r>
          </w:p>
        </w:tc>
      </w:tr>
      <w:tr w:rsidR="001C37E4" w:rsidRPr="001C37E4" w14:paraId="144AE050" w14:textId="77777777" w:rsidTr="00EC53DB">
        <w:trPr>
          <w:trHeight w:val="282"/>
        </w:trPr>
        <w:tc>
          <w:tcPr>
            <w:tcW w:w="0" w:type="auto"/>
            <w:vMerge/>
            <w:vAlign w:val="center"/>
            <w:hideMark/>
          </w:tcPr>
          <w:p w14:paraId="1399614C" w14:textId="77777777" w:rsidR="001C37E4" w:rsidRPr="001C37E4" w:rsidRDefault="001C37E4" w:rsidP="001C37E4">
            <w:pPr>
              <w:spacing w:after="0" w:line="240" w:lineRule="auto"/>
              <w:jc w:val="left"/>
              <w:rPr>
                <w:rFonts w:ascii="Arial" w:eastAsia="Times New Roman" w:hAnsi="Arial"/>
                <w:sz w:val="16"/>
                <w:szCs w:val="16"/>
              </w:rPr>
            </w:pPr>
          </w:p>
        </w:tc>
        <w:tc>
          <w:tcPr>
            <w:tcW w:w="1043" w:type="dxa"/>
            <w:shd w:val="clear" w:color="auto" w:fill="auto"/>
            <w:tcMar>
              <w:top w:w="15" w:type="dxa"/>
              <w:left w:w="15" w:type="dxa"/>
              <w:bottom w:w="0" w:type="dxa"/>
              <w:right w:w="15" w:type="dxa"/>
            </w:tcMar>
            <w:vAlign w:val="center"/>
            <w:hideMark/>
          </w:tcPr>
          <w:p w14:paraId="7E3661DE"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median [IQR]</w:t>
            </w:r>
          </w:p>
        </w:tc>
        <w:tc>
          <w:tcPr>
            <w:tcW w:w="1551" w:type="dxa"/>
            <w:shd w:val="clear" w:color="auto" w:fill="auto"/>
            <w:tcMar>
              <w:top w:w="15" w:type="dxa"/>
              <w:left w:w="15" w:type="dxa"/>
              <w:bottom w:w="0" w:type="dxa"/>
              <w:right w:w="15" w:type="dxa"/>
            </w:tcMar>
            <w:vAlign w:val="center"/>
            <w:hideMark/>
          </w:tcPr>
          <w:p w14:paraId="075589D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60.00 [55.00, 65.00]</w:t>
            </w:r>
          </w:p>
        </w:tc>
        <w:tc>
          <w:tcPr>
            <w:tcW w:w="1473" w:type="dxa"/>
            <w:shd w:val="clear" w:color="auto" w:fill="auto"/>
            <w:tcMar>
              <w:top w:w="15" w:type="dxa"/>
              <w:left w:w="15" w:type="dxa"/>
              <w:bottom w:w="0" w:type="dxa"/>
              <w:right w:w="15" w:type="dxa"/>
            </w:tcMar>
            <w:vAlign w:val="center"/>
            <w:hideMark/>
          </w:tcPr>
          <w:p w14:paraId="7796EC2D"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60.00 [55.00, 65.00]</w:t>
            </w:r>
          </w:p>
        </w:tc>
        <w:tc>
          <w:tcPr>
            <w:tcW w:w="0" w:type="auto"/>
            <w:vMerge/>
            <w:vAlign w:val="center"/>
            <w:hideMark/>
          </w:tcPr>
          <w:p w14:paraId="73EF7514"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5" w:type="dxa"/>
            <w:shd w:val="clear" w:color="auto" w:fill="auto"/>
            <w:tcMar>
              <w:top w:w="15" w:type="dxa"/>
              <w:left w:w="15" w:type="dxa"/>
              <w:bottom w:w="0" w:type="dxa"/>
              <w:right w:w="15" w:type="dxa"/>
            </w:tcMar>
            <w:vAlign w:val="center"/>
            <w:hideMark/>
          </w:tcPr>
          <w:p w14:paraId="446B6E7C"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60.00 [55.00, 65.00]</w:t>
            </w:r>
          </w:p>
        </w:tc>
        <w:tc>
          <w:tcPr>
            <w:tcW w:w="0" w:type="auto"/>
            <w:vMerge/>
            <w:vAlign w:val="center"/>
            <w:hideMark/>
          </w:tcPr>
          <w:p w14:paraId="687A6C60"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6" w:type="dxa"/>
            <w:shd w:val="clear" w:color="auto" w:fill="auto"/>
            <w:tcMar>
              <w:top w:w="15" w:type="dxa"/>
              <w:left w:w="15" w:type="dxa"/>
              <w:bottom w:w="0" w:type="dxa"/>
              <w:right w:w="15" w:type="dxa"/>
            </w:tcMar>
            <w:vAlign w:val="center"/>
            <w:hideMark/>
          </w:tcPr>
          <w:p w14:paraId="3B9C9D34"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60.00 [55.00, 65.00]</w:t>
            </w:r>
          </w:p>
        </w:tc>
        <w:tc>
          <w:tcPr>
            <w:tcW w:w="0" w:type="auto"/>
            <w:vMerge/>
            <w:vAlign w:val="center"/>
            <w:hideMark/>
          </w:tcPr>
          <w:p w14:paraId="0247B72D" w14:textId="77777777" w:rsidR="001C37E4" w:rsidRPr="001C37E4" w:rsidRDefault="001C37E4" w:rsidP="001C37E4">
            <w:pPr>
              <w:spacing w:after="0" w:line="240" w:lineRule="auto"/>
              <w:jc w:val="left"/>
              <w:rPr>
                <w:rFonts w:ascii="Arial" w:eastAsia="Times New Roman" w:hAnsi="Arial"/>
                <w:b/>
                <w:color w:val="00B050"/>
                <w:sz w:val="16"/>
                <w:szCs w:val="16"/>
              </w:rPr>
            </w:pPr>
          </w:p>
        </w:tc>
      </w:tr>
      <w:tr w:rsidR="001C37E4" w:rsidRPr="001C37E4" w14:paraId="68A78A7D" w14:textId="77777777" w:rsidTr="00EC53DB">
        <w:trPr>
          <w:trHeight w:val="282"/>
        </w:trPr>
        <w:tc>
          <w:tcPr>
            <w:tcW w:w="0" w:type="auto"/>
            <w:vMerge/>
            <w:vAlign w:val="center"/>
            <w:hideMark/>
          </w:tcPr>
          <w:p w14:paraId="178C21ED" w14:textId="77777777" w:rsidR="001C37E4" w:rsidRPr="001C37E4" w:rsidRDefault="001C37E4" w:rsidP="001C37E4">
            <w:pPr>
              <w:spacing w:after="0" w:line="240" w:lineRule="auto"/>
              <w:jc w:val="left"/>
              <w:rPr>
                <w:rFonts w:ascii="Arial" w:eastAsia="Times New Roman" w:hAnsi="Arial"/>
                <w:sz w:val="16"/>
                <w:szCs w:val="16"/>
              </w:rPr>
            </w:pPr>
          </w:p>
        </w:tc>
        <w:tc>
          <w:tcPr>
            <w:tcW w:w="1043" w:type="dxa"/>
            <w:shd w:val="clear" w:color="auto" w:fill="auto"/>
            <w:tcMar>
              <w:top w:w="15" w:type="dxa"/>
              <w:left w:w="15" w:type="dxa"/>
              <w:bottom w:w="0" w:type="dxa"/>
              <w:right w:w="15" w:type="dxa"/>
            </w:tcMar>
            <w:vAlign w:val="center"/>
            <w:hideMark/>
          </w:tcPr>
          <w:p w14:paraId="75FE48CD"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median [range]</w:t>
            </w:r>
          </w:p>
        </w:tc>
        <w:tc>
          <w:tcPr>
            <w:tcW w:w="1551" w:type="dxa"/>
            <w:shd w:val="clear" w:color="auto" w:fill="auto"/>
            <w:tcMar>
              <w:top w:w="15" w:type="dxa"/>
              <w:left w:w="15" w:type="dxa"/>
              <w:bottom w:w="0" w:type="dxa"/>
              <w:right w:w="15" w:type="dxa"/>
            </w:tcMar>
            <w:vAlign w:val="center"/>
            <w:hideMark/>
          </w:tcPr>
          <w:p w14:paraId="373BDA28"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60.00 [40.00, 75.00]</w:t>
            </w:r>
          </w:p>
        </w:tc>
        <w:tc>
          <w:tcPr>
            <w:tcW w:w="1473" w:type="dxa"/>
            <w:shd w:val="clear" w:color="auto" w:fill="auto"/>
            <w:tcMar>
              <w:top w:w="15" w:type="dxa"/>
              <w:left w:w="15" w:type="dxa"/>
              <w:bottom w:w="0" w:type="dxa"/>
              <w:right w:w="15" w:type="dxa"/>
            </w:tcMar>
            <w:vAlign w:val="center"/>
            <w:hideMark/>
          </w:tcPr>
          <w:p w14:paraId="0E2D09C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60.00 [40.00, 85.00]</w:t>
            </w:r>
          </w:p>
        </w:tc>
        <w:tc>
          <w:tcPr>
            <w:tcW w:w="0" w:type="auto"/>
            <w:vMerge/>
            <w:vAlign w:val="center"/>
            <w:hideMark/>
          </w:tcPr>
          <w:p w14:paraId="70DCB137"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5" w:type="dxa"/>
            <w:shd w:val="clear" w:color="auto" w:fill="auto"/>
            <w:tcMar>
              <w:top w:w="15" w:type="dxa"/>
              <w:left w:w="15" w:type="dxa"/>
              <w:bottom w:w="0" w:type="dxa"/>
              <w:right w:w="15" w:type="dxa"/>
            </w:tcMar>
            <w:vAlign w:val="center"/>
            <w:hideMark/>
          </w:tcPr>
          <w:p w14:paraId="5D87855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60.00 [40.00, 84.00]</w:t>
            </w:r>
          </w:p>
        </w:tc>
        <w:tc>
          <w:tcPr>
            <w:tcW w:w="0" w:type="auto"/>
            <w:vMerge/>
            <w:vAlign w:val="center"/>
            <w:hideMark/>
          </w:tcPr>
          <w:p w14:paraId="331325E9"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6" w:type="dxa"/>
            <w:shd w:val="clear" w:color="auto" w:fill="auto"/>
            <w:tcMar>
              <w:top w:w="15" w:type="dxa"/>
              <w:left w:w="15" w:type="dxa"/>
              <w:bottom w:w="0" w:type="dxa"/>
              <w:right w:w="15" w:type="dxa"/>
            </w:tcMar>
            <w:vAlign w:val="center"/>
            <w:hideMark/>
          </w:tcPr>
          <w:p w14:paraId="00A2242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60.00 [40.00, 85.00]</w:t>
            </w:r>
          </w:p>
        </w:tc>
        <w:tc>
          <w:tcPr>
            <w:tcW w:w="0" w:type="auto"/>
            <w:vMerge/>
            <w:vAlign w:val="center"/>
            <w:hideMark/>
          </w:tcPr>
          <w:p w14:paraId="6752A597" w14:textId="77777777" w:rsidR="001C37E4" w:rsidRPr="001C37E4" w:rsidRDefault="001C37E4" w:rsidP="001C37E4">
            <w:pPr>
              <w:spacing w:after="0" w:line="240" w:lineRule="auto"/>
              <w:jc w:val="left"/>
              <w:rPr>
                <w:rFonts w:ascii="Arial" w:eastAsia="Times New Roman" w:hAnsi="Arial"/>
                <w:b/>
                <w:color w:val="00B050"/>
                <w:sz w:val="16"/>
                <w:szCs w:val="16"/>
              </w:rPr>
            </w:pPr>
          </w:p>
        </w:tc>
      </w:tr>
      <w:tr w:rsidR="001C37E4" w:rsidRPr="001C37E4" w14:paraId="5095F6D5" w14:textId="77777777" w:rsidTr="00EC53DB">
        <w:trPr>
          <w:trHeight w:val="282"/>
        </w:trPr>
        <w:tc>
          <w:tcPr>
            <w:tcW w:w="1202" w:type="dxa"/>
            <w:vMerge w:val="restart"/>
            <w:shd w:val="clear" w:color="auto" w:fill="auto"/>
            <w:tcMar>
              <w:top w:w="15" w:type="dxa"/>
              <w:left w:w="15" w:type="dxa"/>
              <w:bottom w:w="0" w:type="dxa"/>
              <w:right w:w="15" w:type="dxa"/>
            </w:tcMar>
            <w:vAlign w:val="center"/>
            <w:hideMark/>
          </w:tcPr>
          <w:p w14:paraId="7E78D3A5"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LA Diameter</w:t>
            </w:r>
          </w:p>
        </w:tc>
        <w:tc>
          <w:tcPr>
            <w:tcW w:w="1043" w:type="dxa"/>
            <w:shd w:val="clear" w:color="auto" w:fill="auto"/>
            <w:tcMar>
              <w:top w:w="15" w:type="dxa"/>
              <w:left w:w="15" w:type="dxa"/>
              <w:bottom w:w="0" w:type="dxa"/>
              <w:right w:w="15" w:type="dxa"/>
            </w:tcMar>
            <w:vAlign w:val="center"/>
            <w:hideMark/>
          </w:tcPr>
          <w:p w14:paraId="7C5C52E7"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mean (SD)</w:t>
            </w:r>
          </w:p>
        </w:tc>
        <w:tc>
          <w:tcPr>
            <w:tcW w:w="1551" w:type="dxa"/>
            <w:shd w:val="clear" w:color="auto" w:fill="auto"/>
            <w:tcMar>
              <w:top w:w="15" w:type="dxa"/>
              <w:left w:w="15" w:type="dxa"/>
              <w:bottom w:w="0" w:type="dxa"/>
              <w:right w:w="15" w:type="dxa"/>
            </w:tcMar>
            <w:vAlign w:val="center"/>
            <w:hideMark/>
          </w:tcPr>
          <w:p w14:paraId="7CE572C2"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38.36 (6.18)</w:t>
            </w:r>
          </w:p>
        </w:tc>
        <w:tc>
          <w:tcPr>
            <w:tcW w:w="1473" w:type="dxa"/>
            <w:shd w:val="clear" w:color="auto" w:fill="auto"/>
            <w:tcMar>
              <w:top w:w="15" w:type="dxa"/>
              <w:left w:w="15" w:type="dxa"/>
              <w:bottom w:w="0" w:type="dxa"/>
              <w:right w:w="15" w:type="dxa"/>
            </w:tcMar>
            <w:vAlign w:val="center"/>
            <w:hideMark/>
          </w:tcPr>
          <w:p w14:paraId="09706CA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38.60 (5.77)</w:t>
            </w:r>
          </w:p>
        </w:tc>
        <w:tc>
          <w:tcPr>
            <w:tcW w:w="688" w:type="dxa"/>
            <w:vMerge w:val="restart"/>
            <w:shd w:val="clear" w:color="auto" w:fill="auto"/>
            <w:tcMar>
              <w:top w:w="15" w:type="dxa"/>
              <w:left w:w="15" w:type="dxa"/>
              <w:bottom w:w="0" w:type="dxa"/>
              <w:right w:w="15" w:type="dxa"/>
            </w:tcMar>
            <w:vAlign w:val="center"/>
            <w:hideMark/>
          </w:tcPr>
          <w:p w14:paraId="3904CCA2"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0.040</w:t>
            </w:r>
          </w:p>
        </w:tc>
        <w:tc>
          <w:tcPr>
            <w:tcW w:w="1475" w:type="dxa"/>
            <w:shd w:val="clear" w:color="auto" w:fill="auto"/>
            <w:tcMar>
              <w:top w:w="15" w:type="dxa"/>
              <w:left w:w="15" w:type="dxa"/>
              <w:bottom w:w="0" w:type="dxa"/>
              <w:right w:w="15" w:type="dxa"/>
            </w:tcMar>
            <w:vAlign w:val="center"/>
            <w:hideMark/>
          </w:tcPr>
          <w:p w14:paraId="082B42C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38.39 (5.61)</w:t>
            </w:r>
          </w:p>
        </w:tc>
        <w:tc>
          <w:tcPr>
            <w:tcW w:w="697" w:type="dxa"/>
            <w:vMerge w:val="restart"/>
            <w:shd w:val="clear" w:color="auto" w:fill="auto"/>
            <w:tcMar>
              <w:top w:w="15" w:type="dxa"/>
              <w:left w:w="15" w:type="dxa"/>
              <w:bottom w:w="0" w:type="dxa"/>
              <w:right w:w="15" w:type="dxa"/>
            </w:tcMar>
            <w:vAlign w:val="center"/>
            <w:hideMark/>
          </w:tcPr>
          <w:p w14:paraId="7EACF97E"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0.005</w:t>
            </w:r>
          </w:p>
        </w:tc>
        <w:tc>
          <w:tcPr>
            <w:tcW w:w="1476" w:type="dxa"/>
            <w:shd w:val="clear" w:color="auto" w:fill="auto"/>
            <w:tcMar>
              <w:top w:w="15" w:type="dxa"/>
              <w:left w:w="15" w:type="dxa"/>
              <w:bottom w:w="0" w:type="dxa"/>
              <w:right w:w="15" w:type="dxa"/>
            </w:tcMar>
            <w:vAlign w:val="center"/>
            <w:hideMark/>
          </w:tcPr>
          <w:p w14:paraId="4CEC61FD"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38.76 (5.91)</w:t>
            </w:r>
          </w:p>
        </w:tc>
        <w:tc>
          <w:tcPr>
            <w:tcW w:w="697" w:type="dxa"/>
            <w:vMerge w:val="restart"/>
            <w:shd w:val="clear" w:color="auto" w:fill="auto"/>
            <w:tcMar>
              <w:top w:w="15" w:type="dxa"/>
              <w:left w:w="15" w:type="dxa"/>
              <w:bottom w:w="0" w:type="dxa"/>
              <w:right w:w="15" w:type="dxa"/>
            </w:tcMar>
            <w:vAlign w:val="center"/>
            <w:hideMark/>
          </w:tcPr>
          <w:p w14:paraId="237813A2"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0.066</w:t>
            </w:r>
          </w:p>
        </w:tc>
      </w:tr>
      <w:tr w:rsidR="001C37E4" w:rsidRPr="001C37E4" w14:paraId="7775FACA" w14:textId="77777777" w:rsidTr="00EC53DB">
        <w:trPr>
          <w:trHeight w:val="282"/>
        </w:trPr>
        <w:tc>
          <w:tcPr>
            <w:tcW w:w="0" w:type="auto"/>
            <w:vMerge/>
            <w:vAlign w:val="center"/>
            <w:hideMark/>
          </w:tcPr>
          <w:p w14:paraId="242B2013" w14:textId="77777777" w:rsidR="001C37E4" w:rsidRPr="001C37E4" w:rsidRDefault="001C37E4" w:rsidP="001C37E4">
            <w:pPr>
              <w:spacing w:after="0" w:line="240" w:lineRule="auto"/>
              <w:jc w:val="left"/>
              <w:rPr>
                <w:rFonts w:ascii="Arial" w:eastAsia="Times New Roman" w:hAnsi="Arial"/>
                <w:sz w:val="16"/>
                <w:szCs w:val="16"/>
              </w:rPr>
            </w:pPr>
          </w:p>
        </w:tc>
        <w:tc>
          <w:tcPr>
            <w:tcW w:w="1043" w:type="dxa"/>
            <w:shd w:val="clear" w:color="auto" w:fill="auto"/>
            <w:tcMar>
              <w:top w:w="15" w:type="dxa"/>
              <w:left w:w="15" w:type="dxa"/>
              <w:bottom w:w="0" w:type="dxa"/>
              <w:right w:w="15" w:type="dxa"/>
            </w:tcMar>
            <w:vAlign w:val="center"/>
            <w:hideMark/>
          </w:tcPr>
          <w:p w14:paraId="257A3273"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median [IQR]</w:t>
            </w:r>
          </w:p>
        </w:tc>
        <w:tc>
          <w:tcPr>
            <w:tcW w:w="1551" w:type="dxa"/>
            <w:shd w:val="clear" w:color="auto" w:fill="auto"/>
            <w:tcMar>
              <w:top w:w="15" w:type="dxa"/>
              <w:left w:w="15" w:type="dxa"/>
              <w:bottom w:w="0" w:type="dxa"/>
              <w:right w:w="15" w:type="dxa"/>
            </w:tcMar>
            <w:vAlign w:val="center"/>
            <w:hideMark/>
          </w:tcPr>
          <w:p w14:paraId="5BEE2C6F"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38.00 [34.00, 43.00]</w:t>
            </w:r>
          </w:p>
        </w:tc>
        <w:tc>
          <w:tcPr>
            <w:tcW w:w="1473" w:type="dxa"/>
            <w:shd w:val="clear" w:color="auto" w:fill="auto"/>
            <w:tcMar>
              <w:top w:w="15" w:type="dxa"/>
              <w:left w:w="15" w:type="dxa"/>
              <w:bottom w:w="0" w:type="dxa"/>
              <w:right w:w="15" w:type="dxa"/>
            </w:tcMar>
            <w:vAlign w:val="center"/>
            <w:hideMark/>
          </w:tcPr>
          <w:p w14:paraId="5B2B832D"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39.00 [34.00, 43.00]</w:t>
            </w:r>
          </w:p>
        </w:tc>
        <w:tc>
          <w:tcPr>
            <w:tcW w:w="0" w:type="auto"/>
            <w:vMerge/>
            <w:vAlign w:val="center"/>
            <w:hideMark/>
          </w:tcPr>
          <w:p w14:paraId="2F5441EC"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5" w:type="dxa"/>
            <w:shd w:val="clear" w:color="auto" w:fill="auto"/>
            <w:tcMar>
              <w:top w:w="15" w:type="dxa"/>
              <w:left w:w="15" w:type="dxa"/>
              <w:bottom w:w="0" w:type="dxa"/>
              <w:right w:w="15" w:type="dxa"/>
            </w:tcMar>
            <w:vAlign w:val="center"/>
            <w:hideMark/>
          </w:tcPr>
          <w:p w14:paraId="4E71B5C7"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38.00 [34.75, 43.00]</w:t>
            </w:r>
          </w:p>
        </w:tc>
        <w:tc>
          <w:tcPr>
            <w:tcW w:w="0" w:type="auto"/>
            <w:vMerge/>
            <w:vAlign w:val="center"/>
            <w:hideMark/>
          </w:tcPr>
          <w:p w14:paraId="7B577239"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6" w:type="dxa"/>
            <w:shd w:val="clear" w:color="auto" w:fill="auto"/>
            <w:tcMar>
              <w:top w:w="15" w:type="dxa"/>
              <w:left w:w="15" w:type="dxa"/>
              <w:bottom w:w="0" w:type="dxa"/>
              <w:right w:w="15" w:type="dxa"/>
            </w:tcMar>
            <w:vAlign w:val="center"/>
            <w:hideMark/>
          </w:tcPr>
          <w:p w14:paraId="64C5FA3A"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39.00 [34.00, 43.00]</w:t>
            </w:r>
          </w:p>
        </w:tc>
        <w:tc>
          <w:tcPr>
            <w:tcW w:w="0" w:type="auto"/>
            <w:vMerge/>
            <w:vAlign w:val="center"/>
            <w:hideMark/>
          </w:tcPr>
          <w:p w14:paraId="1A1D7749" w14:textId="77777777" w:rsidR="001C37E4" w:rsidRPr="001C37E4" w:rsidRDefault="001C37E4" w:rsidP="001C37E4">
            <w:pPr>
              <w:spacing w:after="0" w:line="240" w:lineRule="auto"/>
              <w:jc w:val="left"/>
              <w:rPr>
                <w:rFonts w:ascii="Arial" w:eastAsia="Times New Roman" w:hAnsi="Arial"/>
                <w:b/>
                <w:sz w:val="16"/>
                <w:szCs w:val="16"/>
              </w:rPr>
            </w:pPr>
          </w:p>
        </w:tc>
      </w:tr>
      <w:tr w:rsidR="001C37E4" w:rsidRPr="001C37E4" w14:paraId="56D9915F" w14:textId="77777777" w:rsidTr="00EC53DB">
        <w:trPr>
          <w:trHeight w:val="282"/>
        </w:trPr>
        <w:tc>
          <w:tcPr>
            <w:tcW w:w="0" w:type="auto"/>
            <w:vMerge/>
            <w:vAlign w:val="center"/>
            <w:hideMark/>
          </w:tcPr>
          <w:p w14:paraId="04231E55" w14:textId="77777777" w:rsidR="001C37E4" w:rsidRPr="001C37E4" w:rsidRDefault="001C37E4" w:rsidP="001C37E4">
            <w:pPr>
              <w:spacing w:after="0" w:line="240" w:lineRule="auto"/>
              <w:jc w:val="left"/>
              <w:rPr>
                <w:rFonts w:ascii="Arial" w:eastAsia="Times New Roman" w:hAnsi="Arial"/>
                <w:sz w:val="16"/>
                <w:szCs w:val="16"/>
              </w:rPr>
            </w:pPr>
          </w:p>
        </w:tc>
        <w:tc>
          <w:tcPr>
            <w:tcW w:w="1043" w:type="dxa"/>
            <w:shd w:val="clear" w:color="auto" w:fill="auto"/>
            <w:tcMar>
              <w:top w:w="15" w:type="dxa"/>
              <w:left w:w="15" w:type="dxa"/>
              <w:bottom w:w="0" w:type="dxa"/>
              <w:right w:w="15" w:type="dxa"/>
            </w:tcMar>
            <w:vAlign w:val="center"/>
            <w:hideMark/>
          </w:tcPr>
          <w:p w14:paraId="524F5B99"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median [range]</w:t>
            </w:r>
          </w:p>
        </w:tc>
        <w:tc>
          <w:tcPr>
            <w:tcW w:w="1551" w:type="dxa"/>
            <w:shd w:val="clear" w:color="auto" w:fill="auto"/>
            <w:tcMar>
              <w:top w:w="15" w:type="dxa"/>
              <w:left w:w="15" w:type="dxa"/>
              <w:bottom w:w="0" w:type="dxa"/>
              <w:right w:w="15" w:type="dxa"/>
            </w:tcMar>
            <w:vAlign w:val="center"/>
            <w:hideMark/>
          </w:tcPr>
          <w:p w14:paraId="4979E9AD"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38.00 [20.00, 50.00]</w:t>
            </w:r>
          </w:p>
        </w:tc>
        <w:tc>
          <w:tcPr>
            <w:tcW w:w="1473" w:type="dxa"/>
            <w:shd w:val="clear" w:color="auto" w:fill="auto"/>
            <w:tcMar>
              <w:top w:w="15" w:type="dxa"/>
              <w:left w:w="15" w:type="dxa"/>
              <w:bottom w:w="0" w:type="dxa"/>
              <w:right w:w="15" w:type="dxa"/>
            </w:tcMar>
            <w:vAlign w:val="center"/>
            <w:hideMark/>
          </w:tcPr>
          <w:p w14:paraId="65067DAB"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39.00 [22.00, 50.00]</w:t>
            </w:r>
          </w:p>
        </w:tc>
        <w:tc>
          <w:tcPr>
            <w:tcW w:w="0" w:type="auto"/>
            <w:vMerge/>
            <w:vAlign w:val="center"/>
            <w:hideMark/>
          </w:tcPr>
          <w:p w14:paraId="450FF192"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5" w:type="dxa"/>
            <w:shd w:val="clear" w:color="auto" w:fill="auto"/>
            <w:tcMar>
              <w:top w:w="15" w:type="dxa"/>
              <w:left w:w="15" w:type="dxa"/>
              <w:bottom w:w="0" w:type="dxa"/>
              <w:right w:w="15" w:type="dxa"/>
            </w:tcMar>
            <w:vAlign w:val="center"/>
            <w:hideMark/>
          </w:tcPr>
          <w:p w14:paraId="0FB34FD3"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38.00 [26.00, 50.00]</w:t>
            </w:r>
          </w:p>
        </w:tc>
        <w:tc>
          <w:tcPr>
            <w:tcW w:w="0" w:type="auto"/>
            <w:vMerge/>
            <w:vAlign w:val="center"/>
            <w:hideMark/>
          </w:tcPr>
          <w:p w14:paraId="6D0A06B3"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6" w:type="dxa"/>
            <w:shd w:val="clear" w:color="auto" w:fill="auto"/>
            <w:tcMar>
              <w:top w:w="15" w:type="dxa"/>
              <w:left w:w="15" w:type="dxa"/>
              <w:bottom w:w="0" w:type="dxa"/>
              <w:right w:w="15" w:type="dxa"/>
            </w:tcMar>
            <w:vAlign w:val="center"/>
            <w:hideMark/>
          </w:tcPr>
          <w:p w14:paraId="34AFF1F2"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39.00 [22.00, 50.00]</w:t>
            </w:r>
          </w:p>
        </w:tc>
        <w:tc>
          <w:tcPr>
            <w:tcW w:w="0" w:type="auto"/>
            <w:vMerge/>
            <w:vAlign w:val="center"/>
            <w:hideMark/>
          </w:tcPr>
          <w:p w14:paraId="5CE1A090" w14:textId="77777777" w:rsidR="001C37E4" w:rsidRPr="001C37E4" w:rsidRDefault="001C37E4" w:rsidP="001C37E4">
            <w:pPr>
              <w:spacing w:after="0" w:line="240" w:lineRule="auto"/>
              <w:jc w:val="left"/>
              <w:rPr>
                <w:rFonts w:ascii="Arial" w:eastAsia="Times New Roman" w:hAnsi="Arial"/>
                <w:b/>
                <w:sz w:val="16"/>
                <w:szCs w:val="16"/>
              </w:rPr>
            </w:pPr>
          </w:p>
        </w:tc>
      </w:tr>
      <w:tr w:rsidR="001C37E4" w:rsidRPr="001C37E4" w14:paraId="56AA5140" w14:textId="77777777" w:rsidTr="00EC53DB">
        <w:trPr>
          <w:trHeight w:val="282"/>
        </w:trPr>
        <w:tc>
          <w:tcPr>
            <w:tcW w:w="1202" w:type="dxa"/>
            <w:vMerge w:val="restart"/>
            <w:shd w:val="clear" w:color="auto" w:fill="auto"/>
            <w:tcMar>
              <w:top w:w="15" w:type="dxa"/>
              <w:left w:w="15" w:type="dxa"/>
              <w:bottom w:w="0" w:type="dxa"/>
              <w:right w:w="15" w:type="dxa"/>
            </w:tcMar>
            <w:vAlign w:val="center"/>
            <w:hideMark/>
          </w:tcPr>
          <w:p w14:paraId="73AADA47"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Duration of symptomatic AF in months</w:t>
            </w:r>
          </w:p>
        </w:tc>
        <w:tc>
          <w:tcPr>
            <w:tcW w:w="1043" w:type="dxa"/>
            <w:shd w:val="clear" w:color="auto" w:fill="auto"/>
            <w:tcMar>
              <w:top w:w="15" w:type="dxa"/>
              <w:left w:w="15" w:type="dxa"/>
              <w:bottom w:w="0" w:type="dxa"/>
              <w:right w:w="15" w:type="dxa"/>
            </w:tcMar>
            <w:vAlign w:val="center"/>
            <w:hideMark/>
          </w:tcPr>
          <w:p w14:paraId="7C84BDCA"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mean (SD)</w:t>
            </w:r>
          </w:p>
        </w:tc>
        <w:tc>
          <w:tcPr>
            <w:tcW w:w="1551" w:type="dxa"/>
            <w:shd w:val="clear" w:color="auto" w:fill="auto"/>
            <w:tcMar>
              <w:top w:w="15" w:type="dxa"/>
              <w:left w:w="15" w:type="dxa"/>
              <w:bottom w:w="0" w:type="dxa"/>
              <w:right w:w="15" w:type="dxa"/>
            </w:tcMar>
            <w:vAlign w:val="center"/>
            <w:hideMark/>
          </w:tcPr>
          <w:p w14:paraId="0B71F316"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49.15 (72.95)</w:t>
            </w:r>
          </w:p>
        </w:tc>
        <w:tc>
          <w:tcPr>
            <w:tcW w:w="1473" w:type="dxa"/>
            <w:shd w:val="clear" w:color="auto" w:fill="auto"/>
            <w:tcMar>
              <w:top w:w="15" w:type="dxa"/>
              <w:left w:w="15" w:type="dxa"/>
              <w:bottom w:w="0" w:type="dxa"/>
              <w:right w:w="15" w:type="dxa"/>
            </w:tcMar>
            <w:vAlign w:val="center"/>
            <w:hideMark/>
          </w:tcPr>
          <w:p w14:paraId="2D873A7B"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55.39 (65.44)</w:t>
            </w:r>
          </w:p>
        </w:tc>
        <w:tc>
          <w:tcPr>
            <w:tcW w:w="688" w:type="dxa"/>
            <w:vMerge w:val="restart"/>
            <w:shd w:val="clear" w:color="auto" w:fill="auto"/>
            <w:tcMar>
              <w:top w:w="15" w:type="dxa"/>
              <w:left w:w="15" w:type="dxa"/>
              <w:bottom w:w="0" w:type="dxa"/>
              <w:right w:w="15" w:type="dxa"/>
            </w:tcMar>
            <w:vAlign w:val="center"/>
            <w:hideMark/>
          </w:tcPr>
          <w:p w14:paraId="37DB4FF5"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0.090</w:t>
            </w:r>
          </w:p>
        </w:tc>
        <w:tc>
          <w:tcPr>
            <w:tcW w:w="1475" w:type="dxa"/>
            <w:shd w:val="clear" w:color="auto" w:fill="auto"/>
            <w:tcMar>
              <w:top w:w="15" w:type="dxa"/>
              <w:left w:w="15" w:type="dxa"/>
              <w:bottom w:w="0" w:type="dxa"/>
              <w:right w:w="15" w:type="dxa"/>
            </w:tcMar>
            <w:vAlign w:val="center"/>
            <w:hideMark/>
          </w:tcPr>
          <w:p w14:paraId="73974A95"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65.91 (65.16)</w:t>
            </w:r>
          </w:p>
        </w:tc>
        <w:tc>
          <w:tcPr>
            <w:tcW w:w="697" w:type="dxa"/>
            <w:vMerge w:val="restart"/>
            <w:shd w:val="clear" w:color="auto" w:fill="auto"/>
            <w:tcMar>
              <w:top w:w="15" w:type="dxa"/>
              <w:left w:w="15" w:type="dxa"/>
              <w:bottom w:w="0" w:type="dxa"/>
              <w:right w:w="15" w:type="dxa"/>
            </w:tcMar>
            <w:vAlign w:val="center"/>
            <w:hideMark/>
          </w:tcPr>
          <w:p w14:paraId="0E153B81"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FF0000"/>
                <w:sz w:val="16"/>
                <w:szCs w:val="16"/>
              </w:rPr>
              <w:t>0.242</w:t>
            </w:r>
          </w:p>
        </w:tc>
        <w:tc>
          <w:tcPr>
            <w:tcW w:w="1476" w:type="dxa"/>
            <w:shd w:val="clear" w:color="auto" w:fill="auto"/>
            <w:tcMar>
              <w:top w:w="15" w:type="dxa"/>
              <w:left w:w="15" w:type="dxa"/>
              <w:bottom w:w="0" w:type="dxa"/>
              <w:right w:w="15" w:type="dxa"/>
            </w:tcMar>
            <w:vAlign w:val="center"/>
            <w:hideMark/>
          </w:tcPr>
          <w:p w14:paraId="5F9883A0"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47.34 (64.72)</w:t>
            </w:r>
          </w:p>
        </w:tc>
        <w:tc>
          <w:tcPr>
            <w:tcW w:w="697" w:type="dxa"/>
            <w:vMerge w:val="restart"/>
            <w:shd w:val="clear" w:color="auto" w:fill="auto"/>
            <w:tcMar>
              <w:top w:w="15" w:type="dxa"/>
              <w:left w:w="15" w:type="dxa"/>
              <w:bottom w:w="0" w:type="dxa"/>
              <w:right w:w="15" w:type="dxa"/>
            </w:tcMar>
            <w:vAlign w:val="center"/>
            <w:hideMark/>
          </w:tcPr>
          <w:p w14:paraId="78FE8111"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00B050"/>
                <w:sz w:val="16"/>
                <w:szCs w:val="16"/>
              </w:rPr>
              <w:t>0.026</w:t>
            </w:r>
          </w:p>
        </w:tc>
      </w:tr>
      <w:tr w:rsidR="001C37E4" w:rsidRPr="001C37E4" w14:paraId="30D7BC02" w14:textId="77777777" w:rsidTr="00EC53DB">
        <w:trPr>
          <w:trHeight w:val="282"/>
        </w:trPr>
        <w:tc>
          <w:tcPr>
            <w:tcW w:w="0" w:type="auto"/>
            <w:vMerge/>
            <w:vAlign w:val="center"/>
            <w:hideMark/>
          </w:tcPr>
          <w:p w14:paraId="5EFBE9A0" w14:textId="77777777" w:rsidR="001C37E4" w:rsidRPr="001C37E4" w:rsidRDefault="001C37E4" w:rsidP="001C37E4">
            <w:pPr>
              <w:spacing w:after="0" w:line="240" w:lineRule="auto"/>
              <w:jc w:val="left"/>
              <w:rPr>
                <w:rFonts w:ascii="Arial" w:eastAsia="Times New Roman" w:hAnsi="Arial"/>
                <w:sz w:val="16"/>
                <w:szCs w:val="16"/>
              </w:rPr>
            </w:pPr>
          </w:p>
        </w:tc>
        <w:tc>
          <w:tcPr>
            <w:tcW w:w="1043" w:type="dxa"/>
            <w:shd w:val="clear" w:color="auto" w:fill="auto"/>
            <w:tcMar>
              <w:top w:w="15" w:type="dxa"/>
              <w:left w:w="15" w:type="dxa"/>
              <w:bottom w:w="0" w:type="dxa"/>
              <w:right w:w="15" w:type="dxa"/>
            </w:tcMar>
            <w:vAlign w:val="center"/>
            <w:hideMark/>
          </w:tcPr>
          <w:p w14:paraId="013E961E"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median [IQR]</w:t>
            </w:r>
          </w:p>
        </w:tc>
        <w:tc>
          <w:tcPr>
            <w:tcW w:w="1551" w:type="dxa"/>
            <w:shd w:val="clear" w:color="auto" w:fill="auto"/>
            <w:tcMar>
              <w:top w:w="15" w:type="dxa"/>
              <w:left w:w="15" w:type="dxa"/>
              <w:bottom w:w="0" w:type="dxa"/>
              <w:right w:w="15" w:type="dxa"/>
            </w:tcMar>
            <w:vAlign w:val="center"/>
            <w:hideMark/>
          </w:tcPr>
          <w:p w14:paraId="59119B18"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18.00 [6.15, 60.00]</w:t>
            </w:r>
          </w:p>
        </w:tc>
        <w:tc>
          <w:tcPr>
            <w:tcW w:w="1473" w:type="dxa"/>
            <w:shd w:val="clear" w:color="auto" w:fill="auto"/>
            <w:tcMar>
              <w:top w:w="15" w:type="dxa"/>
              <w:left w:w="15" w:type="dxa"/>
              <w:bottom w:w="0" w:type="dxa"/>
              <w:right w:w="15" w:type="dxa"/>
            </w:tcMar>
            <w:vAlign w:val="center"/>
            <w:hideMark/>
          </w:tcPr>
          <w:p w14:paraId="1377C948"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31.00 [11.50, 72.00]</w:t>
            </w:r>
          </w:p>
        </w:tc>
        <w:tc>
          <w:tcPr>
            <w:tcW w:w="0" w:type="auto"/>
            <w:vMerge/>
            <w:vAlign w:val="center"/>
            <w:hideMark/>
          </w:tcPr>
          <w:p w14:paraId="75717AC3" w14:textId="77777777" w:rsidR="001C37E4" w:rsidRPr="001C37E4" w:rsidRDefault="001C37E4" w:rsidP="001C37E4">
            <w:pPr>
              <w:spacing w:after="0" w:line="240" w:lineRule="auto"/>
              <w:jc w:val="left"/>
              <w:rPr>
                <w:rFonts w:ascii="Arial" w:eastAsia="Times New Roman" w:hAnsi="Arial"/>
                <w:sz w:val="16"/>
                <w:szCs w:val="16"/>
              </w:rPr>
            </w:pPr>
          </w:p>
        </w:tc>
        <w:tc>
          <w:tcPr>
            <w:tcW w:w="1475" w:type="dxa"/>
            <w:shd w:val="clear" w:color="auto" w:fill="auto"/>
            <w:tcMar>
              <w:top w:w="15" w:type="dxa"/>
              <w:left w:w="15" w:type="dxa"/>
              <w:bottom w:w="0" w:type="dxa"/>
              <w:right w:w="15" w:type="dxa"/>
            </w:tcMar>
            <w:vAlign w:val="center"/>
            <w:hideMark/>
          </w:tcPr>
          <w:p w14:paraId="1D7F801B"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48.00 [18.00, 89.00]</w:t>
            </w:r>
          </w:p>
        </w:tc>
        <w:tc>
          <w:tcPr>
            <w:tcW w:w="0" w:type="auto"/>
            <w:vMerge/>
            <w:vAlign w:val="center"/>
            <w:hideMark/>
          </w:tcPr>
          <w:p w14:paraId="3F6249A0" w14:textId="77777777" w:rsidR="001C37E4" w:rsidRPr="001C37E4" w:rsidRDefault="001C37E4" w:rsidP="001C37E4">
            <w:pPr>
              <w:spacing w:after="0" w:line="240" w:lineRule="auto"/>
              <w:jc w:val="left"/>
              <w:rPr>
                <w:rFonts w:ascii="Arial" w:eastAsia="Times New Roman" w:hAnsi="Arial"/>
                <w:sz w:val="16"/>
                <w:szCs w:val="16"/>
              </w:rPr>
            </w:pPr>
          </w:p>
        </w:tc>
        <w:tc>
          <w:tcPr>
            <w:tcW w:w="1476" w:type="dxa"/>
            <w:shd w:val="clear" w:color="auto" w:fill="auto"/>
            <w:tcMar>
              <w:top w:w="15" w:type="dxa"/>
              <w:left w:w="15" w:type="dxa"/>
              <w:bottom w:w="0" w:type="dxa"/>
              <w:right w:w="15" w:type="dxa"/>
            </w:tcMar>
            <w:vAlign w:val="center"/>
            <w:hideMark/>
          </w:tcPr>
          <w:p w14:paraId="38AF5358"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24.00 [8.00, 60.00]</w:t>
            </w:r>
          </w:p>
        </w:tc>
        <w:tc>
          <w:tcPr>
            <w:tcW w:w="0" w:type="auto"/>
            <w:vMerge/>
            <w:vAlign w:val="center"/>
            <w:hideMark/>
          </w:tcPr>
          <w:p w14:paraId="391D371A" w14:textId="77777777" w:rsidR="001C37E4" w:rsidRPr="001C37E4" w:rsidRDefault="001C37E4" w:rsidP="001C37E4">
            <w:pPr>
              <w:spacing w:after="0" w:line="240" w:lineRule="auto"/>
              <w:jc w:val="left"/>
              <w:rPr>
                <w:rFonts w:ascii="Arial" w:eastAsia="Times New Roman" w:hAnsi="Arial"/>
                <w:sz w:val="16"/>
                <w:szCs w:val="16"/>
              </w:rPr>
            </w:pPr>
          </w:p>
        </w:tc>
      </w:tr>
      <w:tr w:rsidR="001C37E4" w:rsidRPr="001C37E4" w14:paraId="7AE713EB" w14:textId="77777777" w:rsidTr="00EC53DB">
        <w:trPr>
          <w:trHeight w:val="282"/>
        </w:trPr>
        <w:tc>
          <w:tcPr>
            <w:tcW w:w="0" w:type="auto"/>
            <w:vMerge/>
            <w:vAlign w:val="center"/>
            <w:hideMark/>
          </w:tcPr>
          <w:p w14:paraId="5F547137" w14:textId="77777777" w:rsidR="001C37E4" w:rsidRPr="001C37E4" w:rsidRDefault="001C37E4" w:rsidP="001C37E4">
            <w:pPr>
              <w:spacing w:after="0" w:line="240" w:lineRule="auto"/>
              <w:jc w:val="left"/>
              <w:rPr>
                <w:rFonts w:ascii="Arial" w:eastAsia="Times New Roman" w:hAnsi="Arial"/>
                <w:sz w:val="16"/>
                <w:szCs w:val="16"/>
              </w:rPr>
            </w:pPr>
          </w:p>
        </w:tc>
        <w:tc>
          <w:tcPr>
            <w:tcW w:w="1043" w:type="dxa"/>
            <w:shd w:val="clear" w:color="auto" w:fill="auto"/>
            <w:tcMar>
              <w:top w:w="15" w:type="dxa"/>
              <w:left w:w="15" w:type="dxa"/>
              <w:bottom w:w="0" w:type="dxa"/>
              <w:right w:w="15" w:type="dxa"/>
            </w:tcMar>
            <w:vAlign w:val="center"/>
            <w:hideMark/>
          </w:tcPr>
          <w:p w14:paraId="458838AD" w14:textId="77777777" w:rsidR="001C37E4" w:rsidRPr="001C37E4" w:rsidRDefault="001C37E4" w:rsidP="001C37E4">
            <w:pPr>
              <w:spacing w:after="0" w:line="240" w:lineRule="auto"/>
              <w:jc w:val="left"/>
              <w:textAlignment w:val="bottom"/>
              <w:rPr>
                <w:rFonts w:ascii="Arial" w:eastAsia="Times New Roman" w:hAnsi="Arial"/>
                <w:sz w:val="16"/>
                <w:szCs w:val="16"/>
              </w:rPr>
            </w:pPr>
            <w:r w:rsidRPr="001C37E4">
              <w:rPr>
                <w:rFonts w:ascii="Arial" w:eastAsia="Times New Roman" w:hAnsi="Arial"/>
                <w:sz w:val="16"/>
                <w:szCs w:val="16"/>
              </w:rPr>
              <w:t>median [range]</w:t>
            </w:r>
          </w:p>
        </w:tc>
        <w:tc>
          <w:tcPr>
            <w:tcW w:w="1551" w:type="dxa"/>
            <w:shd w:val="clear" w:color="auto" w:fill="auto"/>
            <w:tcMar>
              <w:top w:w="15" w:type="dxa"/>
              <w:left w:w="15" w:type="dxa"/>
              <w:bottom w:w="0" w:type="dxa"/>
              <w:right w:w="15" w:type="dxa"/>
            </w:tcMar>
            <w:vAlign w:val="center"/>
            <w:hideMark/>
          </w:tcPr>
          <w:p w14:paraId="15F31BB1"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18.00 [1.00, 432.00]</w:t>
            </w:r>
          </w:p>
        </w:tc>
        <w:tc>
          <w:tcPr>
            <w:tcW w:w="1473" w:type="dxa"/>
            <w:shd w:val="clear" w:color="auto" w:fill="auto"/>
            <w:tcMar>
              <w:top w:w="15" w:type="dxa"/>
              <w:left w:w="15" w:type="dxa"/>
              <w:bottom w:w="0" w:type="dxa"/>
              <w:right w:w="15" w:type="dxa"/>
            </w:tcMar>
            <w:vAlign w:val="center"/>
            <w:hideMark/>
          </w:tcPr>
          <w:p w14:paraId="2A7A1CC9"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31.00 [2.00, 480.00]</w:t>
            </w:r>
          </w:p>
        </w:tc>
        <w:tc>
          <w:tcPr>
            <w:tcW w:w="0" w:type="auto"/>
            <w:vMerge/>
            <w:vAlign w:val="center"/>
            <w:hideMark/>
          </w:tcPr>
          <w:p w14:paraId="29AF0970" w14:textId="77777777" w:rsidR="001C37E4" w:rsidRPr="001C37E4" w:rsidRDefault="001C37E4" w:rsidP="001C37E4">
            <w:pPr>
              <w:spacing w:after="0" w:line="240" w:lineRule="auto"/>
              <w:jc w:val="left"/>
              <w:rPr>
                <w:rFonts w:ascii="Arial" w:eastAsia="Times New Roman" w:hAnsi="Arial"/>
                <w:sz w:val="16"/>
                <w:szCs w:val="16"/>
              </w:rPr>
            </w:pPr>
          </w:p>
        </w:tc>
        <w:tc>
          <w:tcPr>
            <w:tcW w:w="1475" w:type="dxa"/>
            <w:shd w:val="clear" w:color="auto" w:fill="auto"/>
            <w:tcMar>
              <w:top w:w="15" w:type="dxa"/>
              <w:left w:w="15" w:type="dxa"/>
              <w:bottom w:w="0" w:type="dxa"/>
              <w:right w:w="15" w:type="dxa"/>
            </w:tcMar>
            <w:vAlign w:val="center"/>
            <w:hideMark/>
          </w:tcPr>
          <w:p w14:paraId="3B09CCED"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48.00 [2.00, 306.00]</w:t>
            </w:r>
          </w:p>
        </w:tc>
        <w:tc>
          <w:tcPr>
            <w:tcW w:w="0" w:type="auto"/>
            <w:vMerge/>
            <w:vAlign w:val="center"/>
            <w:hideMark/>
          </w:tcPr>
          <w:p w14:paraId="020785A1" w14:textId="77777777" w:rsidR="001C37E4" w:rsidRPr="001C37E4" w:rsidRDefault="001C37E4" w:rsidP="001C37E4">
            <w:pPr>
              <w:spacing w:after="0" w:line="240" w:lineRule="auto"/>
              <w:jc w:val="left"/>
              <w:rPr>
                <w:rFonts w:ascii="Arial" w:eastAsia="Times New Roman" w:hAnsi="Arial"/>
                <w:sz w:val="16"/>
                <w:szCs w:val="16"/>
              </w:rPr>
            </w:pPr>
          </w:p>
        </w:tc>
        <w:tc>
          <w:tcPr>
            <w:tcW w:w="1476" w:type="dxa"/>
            <w:shd w:val="clear" w:color="auto" w:fill="auto"/>
            <w:tcMar>
              <w:top w:w="15" w:type="dxa"/>
              <w:left w:w="15" w:type="dxa"/>
              <w:bottom w:w="0" w:type="dxa"/>
              <w:right w:w="15" w:type="dxa"/>
            </w:tcMar>
            <w:vAlign w:val="center"/>
            <w:hideMark/>
          </w:tcPr>
          <w:p w14:paraId="759E29AE" w14:textId="77777777" w:rsidR="001C37E4" w:rsidRPr="001C37E4" w:rsidRDefault="001C37E4" w:rsidP="001C37E4">
            <w:pPr>
              <w:spacing w:after="0" w:line="240" w:lineRule="auto"/>
              <w:jc w:val="center"/>
              <w:textAlignment w:val="bottom"/>
              <w:rPr>
                <w:rFonts w:ascii="Arial" w:eastAsia="Times New Roman" w:hAnsi="Arial"/>
                <w:sz w:val="16"/>
                <w:szCs w:val="16"/>
              </w:rPr>
            </w:pPr>
            <w:r w:rsidRPr="001C37E4">
              <w:rPr>
                <w:rFonts w:ascii="Arial" w:eastAsia="Times New Roman" w:hAnsi="Arial"/>
                <w:sz w:val="16"/>
                <w:szCs w:val="16"/>
              </w:rPr>
              <w:t>24.00 [2.00, 480.00]</w:t>
            </w:r>
          </w:p>
        </w:tc>
        <w:tc>
          <w:tcPr>
            <w:tcW w:w="0" w:type="auto"/>
            <w:vMerge/>
            <w:vAlign w:val="center"/>
            <w:hideMark/>
          </w:tcPr>
          <w:p w14:paraId="4FB20142" w14:textId="77777777" w:rsidR="001C37E4" w:rsidRPr="001C37E4" w:rsidRDefault="001C37E4" w:rsidP="001C37E4">
            <w:pPr>
              <w:spacing w:after="0" w:line="240" w:lineRule="auto"/>
              <w:jc w:val="left"/>
              <w:rPr>
                <w:rFonts w:ascii="Arial" w:eastAsia="Times New Roman" w:hAnsi="Arial"/>
                <w:sz w:val="16"/>
                <w:szCs w:val="16"/>
              </w:rPr>
            </w:pPr>
          </w:p>
        </w:tc>
      </w:tr>
    </w:tbl>
    <w:tbl>
      <w:tblPr>
        <w:tblStyle w:val="TableGrid1"/>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9071"/>
      </w:tblGrid>
      <w:tr w:rsidR="001C37E4" w:rsidRPr="001C37E4" w14:paraId="007FF6C6" w14:textId="77777777" w:rsidTr="00EC53DB">
        <w:trPr>
          <w:trHeight w:val="245"/>
        </w:trPr>
        <w:tc>
          <w:tcPr>
            <w:tcW w:w="279" w:type="dxa"/>
            <w:shd w:val="clear" w:color="auto" w:fill="00B050"/>
            <w:vAlign w:val="center"/>
          </w:tcPr>
          <w:p w14:paraId="0DF42180" w14:textId="77777777" w:rsidR="001C37E4" w:rsidRPr="001C37E4" w:rsidRDefault="001C37E4" w:rsidP="001C37E4">
            <w:pPr>
              <w:spacing w:after="0" w:line="240" w:lineRule="auto"/>
              <w:jc w:val="left"/>
              <w:rPr>
                <w:rFonts w:ascii="Times New Roman" w:hAnsi="Times New Roman"/>
                <w:sz w:val="16"/>
                <w:szCs w:val="16"/>
                <w:lang w:val="en-CA"/>
              </w:rPr>
            </w:pPr>
          </w:p>
        </w:tc>
        <w:tc>
          <w:tcPr>
            <w:tcW w:w="9071" w:type="dxa"/>
            <w:vAlign w:val="center"/>
            <w:hideMark/>
          </w:tcPr>
          <w:p w14:paraId="69B5DA2E"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Small Difference (SMD 0.0 to 0.1)</w:t>
            </w:r>
          </w:p>
        </w:tc>
      </w:tr>
      <w:tr w:rsidR="001C37E4" w:rsidRPr="001C37E4" w14:paraId="3E9022A6" w14:textId="77777777" w:rsidTr="00EC53DB">
        <w:trPr>
          <w:trHeight w:val="245"/>
        </w:trPr>
        <w:tc>
          <w:tcPr>
            <w:tcW w:w="279" w:type="dxa"/>
            <w:shd w:val="clear" w:color="auto" w:fill="FFC000"/>
            <w:vAlign w:val="center"/>
          </w:tcPr>
          <w:p w14:paraId="482AB829" w14:textId="77777777" w:rsidR="001C37E4" w:rsidRPr="001C37E4" w:rsidRDefault="001C37E4" w:rsidP="001C37E4">
            <w:pPr>
              <w:spacing w:after="0" w:line="240" w:lineRule="auto"/>
              <w:jc w:val="left"/>
              <w:rPr>
                <w:rFonts w:ascii="Times New Roman" w:hAnsi="Times New Roman"/>
                <w:sz w:val="16"/>
                <w:szCs w:val="16"/>
                <w:lang w:val="en-CA"/>
              </w:rPr>
            </w:pPr>
          </w:p>
        </w:tc>
        <w:tc>
          <w:tcPr>
            <w:tcW w:w="9071" w:type="dxa"/>
            <w:vAlign w:val="center"/>
            <w:hideMark/>
          </w:tcPr>
          <w:p w14:paraId="29E7D982"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Moderate Difference (SMD &gt;0.1 to 0.2)</w:t>
            </w:r>
          </w:p>
        </w:tc>
      </w:tr>
      <w:tr w:rsidR="001C37E4" w:rsidRPr="001C37E4" w14:paraId="615B51DB" w14:textId="77777777" w:rsidTr="001C37E4">
        <w:trPr>
          <w:trHeight w:val="245"/>
        </w:trPr>
        <w:tc>
          <w:tcPr>
            <w:tcW w:w="279" w:type="dxa"/>
            <w:shd w:val="clear" w:color="auto" w:fill="DC4405"/>
            <w:vAlign w:val="center"/>
          </w:tcPr>
          <w:p w14:paraId="3A8E0CA7" w14:textId="77777777" w:rsidR="001C37E4" w:rsidRPr="001C37E4" w:rsidRDefault="001C37E4" w:rsidP="001C37E4">
            <w:pPr>
              <w:spacing w:after="0" w:line="240" w:lineRule="auto"/>
              <w:jc w:val="left"/>
              <w:rPr>
                <w:rFonts w:ascii="Times New Roman" w:hAnsi="Times New Roman"/>
                <w:sz w:val="16"/>
                <w:szCs w:val="16"/>
                <w:lang w:val="en-CA"/>
              </w:rPr>
            </w:pPr>
          </w:p>
        </w:tc>
        <w:tc>
          <w:tcPr>
            <w:tcW w:w="9071" w:type="dxa"/>
            <w:vAlign w:val="center"/>
            <w:hideMark/>
          </w:tcPr>
          <w:p w14:paraId="76882E0B"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Substantial Difference (SMD &gt;0.2)</w:t>
            </w:r>
          </w:p>
        </w:tc>
      </w:tr>
    </w:tbl>
    <w:p w14:paraId="7C8F071F" w14:textId="16113749" w:rsidR="000E6B97" w:rsidRDefault="001C37E4" w:rsidP="000E6B97">
      <w:pPr>
        <w:spacing w:after="480" w:line="240" w:lineRule="auto"/>
        <w:jc w:val="left"/>
        <w:rPr>
          <w:rFonts w:ascii="Arial" w:hAnsi="Arial"/>
          <w:b/>
          <w:bCs/>
          <w:sz w:val="20"/>
          <w:szCs w:val="20"/>
        </w:rPr>
      </w:pPr>
      <w:r w:rsidRPr="001C37E4">
        <w:rPr>
          <w:rFonts w:ascii="Arial" w:hAnsi="Arial"/>
          <w:sz w:val="16"/>
          <w:szCs w:val="16"/>
          <w:lang w:val="en-CA"/>
        </w:rPr>
        <w:t>Abbreviations: AF = atrial fibrillation; IQR = interquartile range; LA = left atria; mITT = modified intention-to-treat; SD = standard deviation; SMD = standardized mean difference</w:t>
      </w:r>
      <w:r w:rsidR="000E6B97">
        <w:rPr>
          <w:rFonts w:ascii="Arial" w:hAnsi="Arial"/>
          <w:b/>
          <w:bCs/>
          <w:sz w:val="20"/>
          <w:szCs w:val="20"/>
        </w:rPr>
        <w:br w:type="page"/>
      </w:r>
    </w:p>
    <w:p w14:paraId="367B509E" w14:textId="239A9691" w:rsidR="001C37E4" w:rsidRPr="001C37E4" w:rsidRDefault="001C37E4" w:rsidP="001C37E4">
      <w:pPr>
        <w:keepNext/>
        <w:spacing w:before="480" w:after="60"/>
        <w:jc w:val="left"/>
        <w:rPr>
          <w:rFonts w:ascii="Arial" w:hAnsi="Arial"/>
          <w:b/>
          <w:bCs/>
          <w:sz w:val="20"/>
          <w:szCs w:val="20"/>
        </w:rPr>
      </w:pPr>
      <w:r w:rsidRPr="001C37E4">
        <w:rPr>
          <w:rFonts w:ascii="Arial" w:hAnsi="Arial"/>
          <w:b/>
          <w:bCs/>
          <w:sz w:val="20"/>
          <w:szCs w:val="20"/>
        </w:rPr>
        <w:lastRenderedPageBreak/>
        <w:t>Appendix 6: Patient characteristic for clinical success at 12 months and rhythm monitoring-adjusted recurrence</w:t>
      </w:r>
    </w:p>
    <w:tbl>
      <w:tblPr>
        <w:tblW w:w="10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1224"/>
        <w:gridCol w:w="1115"/>
        <w:gridCol w:w="1456"/>
        <w:gridCol w:w="1467"/>
        <w:gridCol w:w="688"/>
        <w:gridCol w:w="1470"/>
        <w:gridCol w:w="695"/>
        <w:gridCol w:w="1470"/>
        <w:gridCol w:w="695"/>
      </w:tblGrid>
      <w:tr w:rsidR="001C37E4" w:rsidRPr="001C37E4" w14:paraId="39165662" w14:textId="77777777" w:rsidTr="001C37E4">
        <w:trPr>
          <w:trHeight w:val="377"/>
        </w:trPr>
        <w:tc>
          <w:tcPr>
            <w:tcW w:w="2339" w:type="dxa"/>
            <w:gridSpan w:val="2"/>
            <w:shd w:val="clear" w:color="auto" w:fill="D9D9D9"/>
            <w:tcMar>
              <w:top w:w="72" w:type="dxa"/>
              <w:left w:w="144" w:type="dxa"/>
              <w:bottom w:w="72" w:type="dxa"/>
              <w:right w:w="144" w:type="dxa"/>
            </w:tcMar>
            <w:vAlign w:val="center"/>
            <w:hideMark/>
          </w:tcPr>
          <w:p w14:paraId="33D08A80" w14:textId="77777777" w:rsidR="001C37E4" w:rsidRPr="001C37E4" w:rsidRDefault="001C37E4" w:rsidP="001C37E4">
            <w:pPr>
              <w:spacing w:after="0" w:line="240" w:lineRule="auto"/>
              <w:jc w:val="left"/>
              <w:rPr>
                <w:rFonts w:ascii="Arial" w:eastAsia="Times New Roman" w:hAnsi="Arial"/>
                <w:b/>
                <w:sz w:val="16"/>
                <w:szCs w:val="16"/>
              </w:rPr>
            </w:pPr>
          </w:p>
        </w:tc>
        <w:tc>
          <w:tcPr>
            <w:tcW w:w="1456" w:type="dxa"/>
            <w:shd w:val="clear" w:color="auto" w:fill="D9D9D9"/>
            <w:tcMar>
              <w:top w:w="72" w:type="dxa"/>
              <w:left w:w="144" w:type="dxa"/>
              <w:bottom w:w="72" w:type="dxa"/>
              <w:right w:w="144" w:type="dxa"/>
            </w:tcMar>
            <w:vAlign w:val="center"/>
            <w:hideMark/>
          </w:tcPr>
          <w:p w14:paraId="625E26D1"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Q-FFICIENCY</w:t>
            </w:r>
          </w:p>
        </w:tc>
        <w:tc>
          <w:tcPr>
            <w:tcW w:w="2155" w:type="dxa"/>
            <w:gridSpan w:val="2"/>
            <w:shd w:val="clear" w:color="auto" w:fill="D9D9D9"/>
            <w:tcMar>
              <w:top w:w="72" w:type="dxa"/>
              <w:left w:w="144" w:type="dxa"/>
              <w:bottom w:w="72" w:type="dxa"/>
              <w:right w:w="144" w:type="dxa"/>
            </w:tcMar>
            <w:vAlign w:val="center"/>
            <w:hideMark/>
          </w:tcPr>
          <w:p w14:paraId="5104035B"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SMART-AF + SMART-SF</w:t>
            </w:r>
          </w:p>
        </w:tc>
        <w:tc>
          <w:tcPr>
            <w:tcW w:w="2165" w:type="dxa"/>
            <w:gridSpan w:val="2"/>
            <w:shd w:val="clear" w:color="auto" w:fill="D9D9D9"/>
            <w:tcMar>
              <w:top w:w="72" w:type="dxa"/>
              <w:left w:w="144" w:type="dxa"/>
              <w:bottom w:w="72" w:type="dxa"/>
              <w:right w:w="144" w:type="dxa"/>
            </w:tcMar>
            <w:vAlign w:val="center"/>
            <w:hideMark/>
          </w:tcPr>
          <w:p w14:paraId="22019553"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SMART-AF</w:t>
            </w:r>
          </w:p>
        </w:tc>
        <w:tc>
          <w:tcPr>
            <w:tcW w:w="2165" w:type="dxa"/>
            <w:gridSpan w:val="2"/>
            <w:shd w:val="clear" w:color="auto" w:fill="D9D9D9"/>
            <w:tcMar>
              <w:top w:w="72" w:type="dxa"/>
              <w:left w:w="144" w:type="dxa"/>
              <w:bottom w:w="72" w:type="dxa"/>
              <w:right w:w="144" w:type="dxa"/>
            </w:tcMar>
            <w:vAlign w:val="center"/>
            <w:hideMark/>
          </w:tcPr>
          <w:p w14:paraId="31CA4DC5" w14:textId="77777777" w:rsidR="001C37E4" w:rsidRPr="001C37E4" w:rsidRDefault="001C37E4" w:rsidP="001C37E4">
            <w:pPr>
              <w:spacing w:after="0" w:line="240" w:lineRule="auto"/>
              <w:jc w:val="center"/>
              <w:rPr>
                <w:rFonts w:ascii="Arial" w:eastAsia="Times New Roman" w:hAnsi="Arial"/>
                <w:b/>
                <w:sz w:val="16"/>
                <w:szCs w:val="16"/>
              </w:rPr>
            </w:pPr>
            <w:r w:rsidRPr="001C37E4">
              <w:rPr>
                <w:rFonts w:ascii="Arial" w:eastAsia="Times New Roman" w:hAnsi="Arial"/>
                <w:b/>
                <w:sz w:val="16"/>
                <w:szCs w:val="16"/>
              </w:rPr>
              <w:t>SMART-SF</w:t>
            </w:r>
          </w:p>
        </w:tc>
      </w:tr>
      <w:tr w:rsidR="001C37E4" w:rsidRPr="001C37E4" w14:paraId="295B8267" w14:textId="77777777" w:rsidTr="001C37E4">
        <w:trPr>
          <w:trHeight w:val="188"/>
        </w:trPr>
        <w:tc>
          <w:tcPr>
            <w:tcW w:w="2339" w:type="dxa"/>
            <w:gridSpan w:val="2"/>
            <w:shd w:val="clear" w:color="auto" w:fill="D9D9D9"/>
            <w:tcMar>
              <w:top w:w="72" w:type="dxa"/>
              <w:left w:w="144" w:type="dxa"/>
              <w:bottom w:w="72" w:type="dxa"/>
              <w:right w:w="144" w:type="dxa"/>
            </w:tcMar>
            <w:vAlign w:val="center"/>
            <w:hideMark/>
          </w:tcPr>
          <w:p w14:paraId="28FCC2F2" w14:textId="77777777" w:rsidR="001C37E4" w:rsidRPr="001C37E4" w:rsidRDefault="001C37E4" w:rsidP="001C37E4">
            <w:pPr>
              <w:spacing w:after="0" w:line="240" w:lineRule="auto"/>
              <w:jc w:val="left"/>
              <w:textAlignment w:val="bottom"/>
              <w:rPr>
                <w:rFonts w:ascii="Arial" w:eastAsia="Times New Roman" w:hAnsi="Arial"/>
                <w:b/>
                <w:sz w:val="16"/>
                <w:szCs w:val="16"/>
              </w:rPr>
            </w:pPr>
            <w:r w:rsidRPr="001C37E4">
              <w:rPr>
                <w:rFonts w:ascii="Arial" w:eastAsia="Times New Roman" w:hAnsi="Arial"/>
                <w:b/>
                <w:sz w:val="16"/>
                <w:szCs w:val="16"/>
              </w:rPr>
              <w:t>Characteristic</w:t>
            </w:r>
          </w:p>
        </w:tc>
        <w:tc>
          <w:tcPr>
            <w:tcW w:w="1456" w:type="dxa"/>
            <w:shd w:val="clear" w:color="auto" w:fill="D9D9D9"/>
            <w:tcMar>
              <w:top w:w="72" w:type="dxa"/>
              <w:left w:w="144" w:type="dxa"/>
              <w:bottom w:w="72" w:type="dxa"/>
              <w:right w:w="144" w:type="dxa"/>
            </w:tcMar>
            <w:vAlign w:val="center"/>
            <w:hideMark/>
          </w:tcPr>
          <w:p w14:paraId="03CF937C"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Per-protocol population</w:t>
            </w:r>
          </w:p>
        </w:tc>
        <w:tc>
          <w:tcPr>
            <w:tcW w:w="1467" w:type="dxa"/>
            <w:shd w:val="clear" w:color="auto" w:fill="D9D9D9"/>
            <w:tcMar>
              <w:top w:w="72" w:type="dxa"/>
              <w:left w:w="144" w:type="dxa"/>
              <w:bottom w:w="72" w:type="dxa"/>
              <w:right w:w="144" w:type="dxa"/>
            </w:tcMar>
            <w:vAlign w:val="center"/>
            <w:hideMark/>
          </w:tcPr>
          <w:p w14:paraId="4D59C028"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Pooled</w:t>
            </w:r>
          </w:p>
        </w:tc>
        <w:tc>
          <w:tcPr>
            <w:tcW w:w="688" w:type="dxa"/>
            <w:shd w:val="clear" w:color="auto" w:fill="D9D9D9"/>
            <w:tcMar>
              <w:top w:w="72" w:type="dxa"/>
              <w:left w:w="144" w:type="dxa"/>
              <w:bottom w:w="72" w:type="dxa"/>
              <w:right w:w="144" w:type="dxa"/>
            </w:tcMar>
            <w:vAlign w:val="center"/>
            <w:hideMark/>
          </w:tcPr>
          <w:p w14:paraId="072D9CA5"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SMD</w:t>
            </w:r>
          </w:p>
        </w:tc>
        <w:tc>
          <w:tcPr>
            <w:tcW w:w="1470" w:type="dxa"/>
            <w:shd w:val="clear" w:color="auto" w:fill="D9D9D9"/>
            <w:tcMar>
              <w:top w:w="72" w:type="dxa"/>
              <w:left w:w="144" w:type="dxa"/>
              <w:bottom w:w="72" w:type="dxa"/>
              <w:right w:w="144" w:type="dxa"/>
            </w:tcMar>
            <w:vAlign w:val="center"/>
            <w:hideMark/>
          </w:tcPr>
          <w:p w14:paraId="7BDF1ECF"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Primary effectiveness</w:t>
            </w:r>
          </w:p>
        </w:tc>
        <w:tc>
          <w:tcPr>
            <w:tcW w:w="695" w:type="dxa"/>
            <w:shd w:val="clear" w:color="auto" w:fill="D9D9D9"/>
            <w:tcMar>
              <w:top w:w="72" w:type="dxa"/>
              <w:left w:w="144" w:type="dxa"/>
              <w:bottom w:w="72" w:type="dxa"/>
              <w:right w:w="144" w:type="dxa"/>
            </w:tcMar>
            <w:vAlign w:val="center"/>
            <w:hideMark/>
          </w:tcPr>
          <w:p w14:paraId="39ADE63B"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SMD</w:t>
            </w:r>
          </w:p>
        </w:tc>
        <w:tc>
          <w:tcPr>
            <w:tcW w:w="1470" w:type="dxa"/>
            <w:shd w:val="clear" w:color="auto" w:fill="D9D9D9"/>
            <w:tcMar>
              <w:top w:w="72" w:type="dxa"/>
              <w:left w:w="144" w:type="dxa"/>
              <w:bottom w:w="72" w:type="dxa"/>
              <w:right w:w="144" w:type="dxa"/>
            </w:tcMar>
            <w:vAlign w:val="center"/>
            <w:hideMark/>
          </w:tcPr>
          <w:p w14:paraId="5F664929"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Effectiveness population</w:t>
            </w:r>
          </w:p>
        </w:tc>
        <w:tc>
          <w:tcPr>
            <w:tcW w:w="695" w:type="dxa"/>
            <w:shd w:val="clear" w:color="auto" w:fill="D9D9D9"/>
            <w:tcMar>
              <w:top w:w="72" w:type="dxa"/>
              <w:left w:w="144" w:type="dxa"/>
              <w:bottom w:w="72" w:type="dxa"/>
              <w:right w:w="144" w:type="dxa"/>
            </w:tcMar>
            <w:vAlign w:val="center"/>
            <w:hideMark/>
          </w:tcPr>
          <w:p w14:paraId="7211A107" w14:textId="77777777" w:rsidR="001C37E4" w:rsidRPr="001C37E4" w:rsidRDefault="001C37E4" w:rsidP="001C37E4">
            <w:pPr>
              <w:spacing w:after="0" w:line="240" w:lineRule="auto"/>
              <w:jc w:val="center"/>
              <w:textAlignment w:val="bottom"/>
              <w:rPr>
                <w:rFonts w:ascii="Arial" w:eastAsia="Times New Roman" w:hAnsi="Arial"/>
                <w:b/>
                <w:sz w:val="16"/>
                <w:szCs w:val="16"/>
              </w:rPr>
            </w:pPr>
            <w:r w:rsidRPr="001C37E4">
              <w:rPr>
                <w:rFonts w:ascii="Arial" w:eastAsia="Times New Roman" w:hAnsi="Arial"/>
                <w:b/>
                <w:sz w:val="16"/>
                <w:szCs w:val="16"/>
              </w:rPr>
              <w:t>SMD</w:t>
            </w:r>
          </w:p>
        </w:tc>
      </w:tr>
      <w:tr w:rsidR="001C37E4" w:rsidRPr="001C37E4" w14:paraId="59479E25" w14:textId="77777777" w:rsidTr="00EC53DB">
        <w:trPr>
          <w:trHeight w:val="263"/>
        </w:trPr>
        <w:tc>
          <w:tcPr>
            <w:tcW w:w="2339" w:type="dxa"/>
            <w:gridSpan w:val="2"/>
            <w:shd w:val="clear" w:color="auto" w:fill="auto"/>
            <w:tcMar>
              <w:top w:w="15" w:type="dxa"/>
              <w:left w:w="15" w:type="dxa"/>
              <w:bottom w:w="0" w:type="dxa"/>
              <w:right w:w="15" w:type="dxa"/>
            </w:tcMar>
            <w:vAlign w:val="center"/>
            <w:hideMark/>
          </w:tcPr>
          <w:p w14:paraId="36A682CF" w14:textId="77777777" w:rsidR="001C37E4" w:rsidRPr="001C37E4" w:rsidRDefault="001C37E4" w:rsidP="001C37E4">
            <w:pPr>
              <w:spacing w:after="0" w:line="240" w:lineRule="auto"/>
              <w:jc w:val="left"/>
              <w:textAlignment w:val="bottom"/>
              <w:rPr>
                <w:rFonts w:ascii="Arial" w:eastAsia="Times New Roman" w:hAnsi="Arial"/>
                <w:i/>
                <w:color w:val="000000"/>
                <w:sz w:val="16"/>
                <w:szCs w:val="16"/>
              </w:rPr>
            </w:pPr>
            <w:r w:rsidRPr="001C37E4">
              <w:rPr>
                <w:rFonts w:ascii="Arial" w:eastAsia="Times New Roman" w:hAnsi="Arial"/>
                <w:i/>
                <w:color w:val="000000"/>
                <w:sz w:val="16"/>
                <w:szCs w:val="16"/>
              </w:rPr>
              <w:t>N</w:t>
            </w:r>
          </w:p>
        </w:tc>
        <w:tc>
          <w:tcPr>
            <w:tcW w:w="1456" w:type="dxa"/>
            <w:shd w:val="clear" w:color="auto" w:fill="auto"/>
            <w:tcMar>
              <w:top w:w="15" w:type="dxa"/>
              <w:left w:w="15" w:type="dxa"/>
              <w:bottom w:w="0" w:type="dxa"/>
              <w:right w:w="15" w:type="dxa"/>
            </w:tcMar>
            <w:vAlign w:val="center"/>
            <w:hideMark/>
          </w:tcPr>
          <w:p w14:paraId="2CF50D6D" w14:textId="77777777" w:rsidR="001C37E4" w:rsidRPr="001C37E4" w:rsidRDefault="001C37E4" w:rsidP="001C37E4">
            <w:pPr>
              <w:spacing w:after="0" w:line="240" w:lineRule="auto"/>
              <w:jc w:val="center"/>
              <w:textAlignment w:val="bottom"/>
              <w:rPr>
                <w:rFonts w:ascii="Arial" w:eastAsia="Times New Roman" w:hAnsi="Arial"/>
                <w:i/>
                <w:color w:val="000000"/>
                <w:sz w:val="16"/>
                <w:szCs w:val="16"/>
              </w:rPr>
            </w:pPr>
            <w:r w:rsidRPr="001C37E4">
              <w:rPr>
                <w:rFonts w:ascii="Arial" w:eastAsia="Times New Roman" w:hAnsi="Arial"/>
                <w:i/>
                <w:color w:val="000000"/>
                <w:sz w:val="16"/>
                <w:szCs w:val="16"/>
              </w:rPr>
              <w:t>166</w:t>
            </w:r>
          </w:p>
        </w:tc>
        <w:tc>
          <w:tcPr>
            <w:tcW w:w="1467" w:type="dxa"/>
            <w:shd w:val="clear" w:color="auto" w:fill="auto"/>
            <w:tcMar>
              <w:top w:w="15" w:type="dxa"/>
              <w:left w:w="15" w:type="dxa"/>
              <w:bottom w:w="0" w:type="dxa"/>
              <w:right w:w="15" w:type="dxa"/>
            </w:tcMar>
            <w:vAlign w:val="center"/>
            <w:hideMark/>
          </w:tcPr>
          <w:p w14:paraId="5010DA59" w14:textId="77777777" w:rsidR="001C37E4" w:rsidRPr="001C37E4" w:rsidRDefault="001C37E4" w:rsidP="001C37E4">
            <w:pPr>
              <w:spacing w:after="0" w:line="240" w:lineRule="auto"/>
              <w:jc w:val="center"/>
              <w:textAlignment w:val="bottom"/>
              <w:rPr>
                <w:rFonts w:ascii="Arial" w:eastAsia="Times New Roman" w:hAnsi="Arial"/>
                <w:i/>
                <w:color w:val="000000"/>
                <w:sz w:val="16"/>
                <w:szCs w:val="16"/>
              </w:rPr>
            </w:pPr>
            <w:r w:rsidRPr="001C37E4">
              <w:rPr>
                <w:rFonts w:ascii="Arial" w:eastAsia="Times New Roman" w:hAnsi="Arial"/>
                <w:i/>
                <w:color w:val="000000"/>
                <w:sz w:val="16"/>
                <w:szCs w:val="16"/>
              </w:rPr>
              <w:t>192</w:t>
            </w:r>
          </w:p>
        </w:tc>
        <w:tc>
          <w:tcPr>
            <w:tcW w:w="688" w:type="dxa"/>
            <w:shd w:val="clear" w:color="auto" w:fill="auto"/>
            <w:tcMar>
              <w:top w:w="15" w:type="dxa"/>
              <w:left w:w="15" w:type="dxa"/>
              <w:bottom w:w="0" w:type="dxa"/>
              <w:right w:w="15" w:type="dxa"/>
            </w:tcMar>
            <w:vAlign w:val="center"/>
            <w:hideMark/>
          </w:tcPr>
          <w:p w14:paraId="31957AAC" w14:textId="77777777" w:rsidR="001C37E4" w:rsidRPr="001C37E4" w:rsidRDefault="001C37E4" w:rsidP="001C37E4">
            <w:pPr>
              <w:spacing w:after="0" w:line="240" w:lineRule="auto"/>
              <w:jc w:val="left"/>
              <w:rPr>
                <w:rFonts w:ascii="Arial" w:eastAsia="Times New Roman" w:hAnsi="Arial"/>
                <w:b/>
                <w:i/>
                <w:color w:val="000000"/>
                <w:sz w:val="16"/>
                <w:szCs w:val="16"/>
              </w:rPr>
            </w:pPr>
          </w:p>
        </w:tc>
        <w:tc>
          <w:tcPr>
            <w:tcW w:w="1470" w:type="dxa"/>
            <w:shd w:val="clear" w:color="auto" w:fill="auto"/>
            <w:tcMar>
              <w:top w:w="15" w:type="dxa"/>
              <w:left w:w="15" w:type="dxa"/>
              <w:bottom w:w="0" w:type="dxa"/>
              <w:right w:w="15" w:type="dxa"/>
            </w:tcMar>
            <w:vAlign w:val="center"/>
            <w:hideMark/>
          </w:tcPr>
          <w:p w14:paraId="4E8FF95E" w14:textId="77777777" w:rsidR="001C37E4" w:rsidRPr="001C37E4" w:rsidRDefault="001C37E4" w:rsidP="001C37E4">
            <w:pPr>
              <w:spacing w:after="0" w:line="240" w:lineRule="auto"/>
              <w:jc w:val="center"/>
              <w:textAlignment w:val="bottom"/>
              <w:rPr>
                <w:rFonts w:ascii="Arial" w:eastAsia="Times New Roman" w:hAnsi="Arial"/>
                <w:i/>
                <w:color w:val="000000"/>
                <w:sz w:val="16"/>
                <w:szCs w:val="16"/>
              </w:rPr>
            </w:pPr>
            <w:r w:rsidRPr="001C37E4">
              <w:rPr>
                <w:rFonts w:ascii="Arial" w:eastAsia="Times New Roman" w:hAnsi="Arial"/>
                <w:i/>
                <w:color w:val="000000"/>
                <w:sz w:val="16"/>
                <w:szCs w:val="16"/>
              </w:rPr>
              <w:t>114</w:t>
            </w:r>
          </w:p>
        </w:tc>
        <w:tc>
          <w:tcPr>
            <w:tcW w:w="695" w:type="dxa"/>
            <w:shd w:val="clear" w:color="auto" w:fill="auto"/>
            <w:tcMar>
              <w:top w:w="15" w:type="dxa"/>
              <w:left w:w="15" w:type="dxa"/>
              <w:bottom w:w="0" w:type="dxa"/>
              <w:right w:w="15" w:type="dxa"/>
            </w:tcMar>
            <w:vAlign w:val="center"/>
            <w:hideMark/>
          </w:tcPr>
          <w:p w14:paraId="045E5FAC" w14:textId="77777777" w:rsidR="001C37E4" w:rsidRPr="001C37E4" w:rsidRDefault="001C37E4" w:rsidP="001C37E4">
            <w:pPr>
              <w:spacing w:after="0" w:line="240" w:lineRule="auto"/>
              <w:jc w:val="left"/>
              <w:rPr>
                <w:rFonts w:ascii="Arial" w:eastAsia="Times New Roman" w:hAnsi="Arial"/>
                <w:b/>
                <w:i/>
                <w:color w:val="000000"/>
                <w:sz w:val="16"/>
                <w:szCs w:val="16"/>
              </w:rPr>
            </w:pPr>
          </w:p>
        </w:tc>
        <w:tc>
          <w:tcPr>
            <w:tcW w:w="1470" w:type="dxa"/>
            <w:shd w:val="clear" w:color="auto" w:fill="auto"/>
            <w:tcMar>
              <w:top w:w="15" w:type="dxa"/>
              <w:left w:w="15" w:type="dxa"/>
              <w:bottom w:w="0" w:type="dxa"/>
              <w:right w:w="15" w:type="dxa"/>
            </w:tcMar>
            <w:vAlign w:val="center"/>
            <w:hideMark/>
          </w:tcPr>
          <w:p w14:paraId="3388F8C4" w14:textId="77777777" w:rsidR="001C37E4" w:rsidRPr="001C37E4" w:rsidRDefault="001C37E4" w:rsidP="001C37E4">
            <w:pPr>
              <w:spacing w:after="0" w:line="240" w:lineRule="auto"/>
              <w:jc w:val="center"/>
              <w:textAlignment w:val="bottom"/>
              <w:rPr>
                <w:rFonts w:ascii="Arial" w:eastAsia="Times New Roman" w:hAnsi="Arial"/>
                <w:i/>
                <w:color w:val="000000"/>
                <w:sz w:val="16"/>
                <w:szCs w:val="16"/>
              </w:rPr>
            </w:pPr>
            <w:r w:rsidRPr="001C37E4">
              <w:rPr>
                <w:rFonts w:ascii="Arial" w:eastAsia="Times New Roman" w:hAnsi="Arial"/>
                <w:i/>
                <w:color w:val="000000"/>
                <w:sz w:val="16"/>
                <w:szCs w:val="16"/>
              </w:rPr>
              <w:t>78</w:t>
            </w:r>
          </w:p>
        </w:tc>
        <w:tc>
          <w:tcPr>
            <w:tcW w:w="695" w:type="dxa"/>
            <w:shd w:val="clear" w:color="auto" w:fill="auto"/>
            <w:tcMar>
              <w:top w:w="15" w:type="dxa"/>
              <w:left w:w="15" w:type="dxa"/>
              <w:bottom w:w="0" w:type="dxa"/>
              <w:right w:w="15" w:type="dxa"/>
            </w:tcMar>
            <w:vAlign w:val="center"/>
            <w:hideMark/>
          </w:tcPr>
          <w:p w14:paraId="28BC4248" w14:textId="77777777" w:rsidR="001C37E4" w:rsidRPr="001C37E4" w:rsidRDefault="001C37E4" w:rsidP="001C37E4">
            <w:pPr>
              <w:spacing w:after="0" w:line="240" w:lineRule="auto"/>
              <w:jc w:val="left"/>
              <w:rPr>
                <w:rFonts w:ascii="Arial" w:eastAsia="Times New Roman" w:hAnsi="Arial"/>
                <w:b/>
                <w:i/>
                <w:color w:val="000000"/>
                <w:sz w:val="16"/>
                <w:szCs w:val="16"/>
              </w:rPr>
            </w:pPr>
          </w:p>
        </w:tc>
      </w:tr>
      <w:tr w:rsidR="001C37E4" w:rsidRPr="001C37E4" w14:paraId="23D27B24" w14:textId="77777777" w:rsidTr="00EC53DB">
        <w:trPr>
          <w:trHeight w:val="263"/>
        </w:trPr>
        <w:tc>
          <w:tcPr>
            <w:tcW w:w="2339" w:type="dxa"/>
            <w:gridSpan w:val="2"/>
            <w:shd w:val="clear" w:color="auto" w:fill="auto"/>
            <w:tcMar>
              <w:top w:w="15" w:type="dxa"/>
              <w:left w:w="15" w:type="dxa"/>
              <w:bottom w:w="0" w:type="dxa"/>
              <w:right w:w="15" w:type="dxa"/>
            </w:tcMar>
            <w:vAlign w:val="center"/>
            <w:hideMark/>
          </w:tcPr>
          <w:p w14:paraId="2B8AD10D"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Sex (female), n (%)</w:t>
            </w:r>
          </w:p>
        </w:tc>
        <w:tc>
          <w:tcPr>
            <w:tcW w:w="1456" w:type="dxa"/>
            <w:shd w:val="clear" w:color="auto" w:fill="auto"/>
            <w:tcMar>
              <w:top w:w="15" w:type="dxa"/>
              <w:left w:w="15" w:type="dxa"/>
              <w:bottom w:w="0" w:type="dxa"/>
              <w:right w:w="15" w:type="dxa"/>
            </w:tcMar>
            <w:vAlign w:val="center"/>
            <w:hideMark/>
          </w:tcPr>
          <w:p w14:paraId="0782B0E0"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65 (39.2)</w:t>
            </w:r>
          </w:p>
        </w:tc>
        <w:tc>
          <w:tcPr>
            <w:tcW w:w="1467" w:type="dxa"/>
            <w:shd w:val="clear" w:color="auto" w:fill="auto"/>
            <w:tcMar>
              <w:top w:w="15" w:type="dxa"/>
              <w:left w:w="15" w:type="dxa"/>
              <w:bottom w:w="0" w:type="dxa"/>
              <w:right w:w="15" w:type="dxa"/>
            </w:tcMar>
            <w:vAlign w:val="center"/>
            <w:hideMark/>
          </w:tcPr>
          <w:p w14:paraId="3BC829FD"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68 (35.4)</w:t>
            </w:r>
          </w:p>
        </w:tc>
        <w:tc>
          <w:tcPr>
            <w:tcW w:w="688" w:type="dxa"/>
            <w:shd w:val="clear" w:color="auto" w:fill="auto"/>
            <w:tcMar>
              <w:top w:w="15" w:type="dxa"/>
              <w:left w:w="15" w:type="dxa"/>
              <w:bottom w:w="0" w:type="dxa"/>
              <w:right w:w="15" w:type="dxa"/>
            </w:tcMar>
            <w:vAlign w:val="center"/>
            <w:hideMark/>
          </w:tcPr>
          <w:p w14:paraId="08FF93A0"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0.077</w:t>
            </w:r>
          </w:p>
        </w:tc>
        <w:tc>
          <w:tcPr>
            <w:tcW w:w="1470" w:type="dxa"/>
            <w:shd w:val="clear" w:color="auto" w:fill="auto"/>
            <w:tcMar>
              <w:top w:w="15" w:type="dxa"/>
              <w:left w:w="15" w:type="dxa"/>
              <w:bottom w:w="0" w:type="dxa"/>
              <w:right w:w="15" w:type="dxa"/>
            </w:tcMar>
            <w:vAlign w:val="center"/>
            <w:hideMark/>
          </w:tcPr>
          <w:p w14:paraId="4FCF03E4"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31 (27.2)</w:t>
            </w:r>
          </w:p>
        </w:tc>
        <w:tc>
          <w:tcPr>
            <w:tcW w:w="695" w:type="dxa"/>
            <w:shd w:val="clear" w:color="auto" w:fill="auto"/>
            <w:tcMar>
              <w:top w:w="15" w:type="dxa"/>
              <w:left w:w="15" w:type="dxa"/>
              <w:bottom w:w="0" w:type="dxa"/>
              <w:right w:w="15" w:type="dxa"/>
            </w:tcMar>
            <w:vAlign w:val="center"/>
            <w:hideMark/>
          </w:tcPr>
          <w:p w14:paraId="53D52675"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0.256</w:t>
            </w:r>
          </w:p>
        </w:tc>
        <w:tc>
          <w:tcPr>
            <w:tcW w:w="1470" w:type="dxa"/>
            <w:shd w:val="clear" w:color="auto" w:fill="auto"/>
            <w:tcMar>
              <w:top w:w="15" w:type="dxa"/>
              <w:left w:w="15" w:type="dxa"/>
              <w:bottom w:w="0" w:type="dxa"/>
              <w:right w:w="15" w:type="dxa"/>
            </w:tcMar>
            <w:vAlign w:val="center"/>
            <w:hideMark/>
          </w:tcPr>
          <w:p w14:paraId="33312E2C"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37 (47.4)</w:t>
            </w:r>
          </w:p>
        </w:tc>
        <w:tc>
          <w:tcPr>
            <w:tcW w:w="695" w:type="dxa"/>
            <w:shd w:val="clear" w:color="auto" w:fill="auto"/>
            <w:tcMar>
              <w:top w:w="15" w:type="dxa"/>
              <w:left w:w="15" w:type="dxa"/>
              <w:bottom w:w="0" w:type="dxa"/>
              <w:right w:w="15" w:type="dxa"/>
            </w:tcMar>
            <w:vAlign w:val="center"/>
            <w:hideMark/>
          </w:tcPr>
          <w:p w14:paraId="00C51565"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0.168</w:t>
            </w:r>
          </w:p>
        </w:tc>
      </w:tr>
      <w:tr w:rsidR="001C37E4" w:rsidRPr="001C37E4" w14:paraId="27536DA3" w14:textId="77777777" w:rsidTr="00EC53DB">
        <w:trPr>
          <w:trHeight w:val="263"/>
        </w:trPr>
        <w:tc>
          <w:tcPr>
            <w:tcW w:w="2339" w:type="dxa"/>
            <w:gridSpan w:val="2"/>
            <w:shd w:val="clear" w:color="auto" w:fill="auto"/>
            <w:tcMar>
              <w:top w:w="15" w:type="dxa"/>
              <w:left w:w="15" w:type="dxa"/>
              <w:bottom w:w="0" w:type="dxa"/>
              <w:right w:w="15" w:type="dxa"/>
            </w:tcMar>
            <w:vAlign w:val="center"/>
            <w:hideMark/>
          </w:tcPr>
          <w:p w14:paraId="5CCAD770"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Race (non-white), n (%)</w:t>
            </w:r>
          </w:p>
        </w:tc>
        <w:tc>
          <w:tcPr>
            <w:tcW w:w="1456" w:type="dxa"/>
            <w:shd w:val="clear" w:color="auto" w:fill="auto"/>
            <w:tcMar>
              <w:top w:w="15" w:type="dxa"/>
              <w:left w:w="15" w:type="dxa"/>
              <w:bottom w:w="0" w:type="dxa"/>
              <w:right w:w="15" w:type="dxa"/>
            </w:tcMar>
            <w:vAlign w:val="center"/>
            <w:hideMark/>
          </w:tcPr>
          <w:p w14:paraId="6CB7D457"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18 (10.8)</w:t>
            </w:r>
          </w:p>
        </w:tc>
        <w:tc>
          <w:tcPr>
            <w:tcW w:w="1467" w:type="dxa"/>
            <w:shd w:val="clear" w:color="auto" w:fill="auto"/>
            <w:tcMar>
              <w:top w:w="15" w:type="dxa"/>
              <w:left w:w="15" w:type="dxa"/>
              <w:bottom w:w="0" w:type="dxa"/>
              <w:right w:w="15" w:type="dxa"/>
            </w:tcMar>
            <w:vAlign w:val="center"/>
            <w:hideMark/>
          </w:tcPr>
          <w:p w14:paraId="6359FE4C"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9 (4.7)</w:t>
            </w:r>
          </w:p>
        </w:tc>
        <w:tc>
          <w:tcPr>
            <w:tcW w:w="688" w:type="dxa"/>
            <w:shd w:val="clear" w:color="auto" w:fill="auto"/>
            <w:tcMar>
              <w:top w:w="15" w:type="dxa"/>
              <w:left w:w="15" w:type="dxa"/>
              <w:bottom w:w="0" w:type="dxa"/>
              <w:right w:w="15" w:type="dxa"/>
            </w:tcMar>
            <w:vAlign w:val="center"/>
            <w:hideMark/>
          </w:tcPr>
          <w:p w14:paraId="0E7D8AA5"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0.232</w:t>
            </w:r>
          </w:p>
        </w:tc>
        <w:tc>
          <w:tcPr>
            <w:tcW w:w="1470" w:type="dxa"/>
            <w:shd w:val="clear" w:color="auto" w:fill="auto"/>
            <w:tcMar>
              <w:top w:w="15" w:type="dxa"/>
              <w:left w:w="15" w:type="dxa"/>
              <w:bottom w:w="0" w:type="dxa"/>
              <w:right w:w="15" w:type="dxa"/>
            </w:tcMar>
            <w:vAlign w:val="center"/>
            <w:hideMark/>
          </w:tcPr>
          <w:p w14:paraId="013C980A"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 (5.3)</w:t>
            </w:r>
          </w:p>
        </w:tc>
        <w:tc>
          <w:tcPr>
            <w:tcW w:w="695" w:type="dxa"/>
            <w:shd w:val="clear" w:color="auto" w:fill="auto"/>
            <w:tcMar>
              <w:top w:w="15" w:type="dxa"/>
              <w:left w:w="15" w:type="dxa"/>
              <w:bottom w:w="0" w:type="dxa"/>
              <w:right w:w="15" w:type="dxa"/>
            </w:tcMar>
            <w:vAlign w:val="center"/>
            <w:hideMark/>
          </w:tcPr>
          <w:p w14:paraId="0CA15EAD"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0.206</w:t>
            </w:r>
          </w:p>
        </w:tc>
        <w:tc>
          <w:tcPr>
            <w:tcW w:w="1470" w:type="dxa"/>
            <w:shd w:val="clear" w:color="auto" w:fill="auto"/>
            <w:tcMar>
              <w:top w:w="15" w:type="dxa"/>
              <w:left w:w="15" w:type="dxa"/>
              <w:bottom w:w="0" w:type="dxa"/>
              <w:right w:w="15" w:type="dxa"/>
            </w:tcMar>
            <w:vAlign w:val="center"/>
            <w:hideMark/>
          </w:tcPr>
          <w:p w14:paraId="25B9B851"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 (3.8)</w:t>
            </w:r>
          </w:p>
        </w:tc>
        <w:tc>
          <w:tcPr>
            <w:tcW w:w="695" w:type="dxa"/>
            <w:shd w:val="clear" w:color="auto" w:fill="auto"/>
            <w:tcMar>
              <w:top w:w="15" w:type="dxa"/>
              <w:left w:w="15" w:type="dxa"/>
              <w:bottom w:w="0" w:type="dxa"/>
              <w:right w:w="15" w:type="dxa"/>
            </w:tcMar>
            <w:vAlign w:val="center"/>
            <w:hideMark/>
          </w:tcPr>
          <w:p w14:paraId="60E0B382"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0.271</w:t>
            </w:r>
          </w:p>
        </w:tc>
      </w:tr>
      <w:tr w:rsidR="001C37E4" w:rsidRPr="001C37E4" w14:paraId="3E4092EE" w14:textId="77777777" w:rsidTr="00EC53DB">
        <w:trPr>
          <w:trHeight w:val="263"/>
        </w:trPr>
        <w:tc>
          <w:tcPr>
            <w:tcW w:w="2339" w:type="dxa"/>
            <w:gridSpan w:val="2"/>
            <w:shd w:val="clear" w:color="auto" w:fill="auto"/>
            <w:tcMar>
              <w:top w:w="15" w:type="dxa"/>
              <w:left w:w="15" w:type="dxa"/>
              <w:bottom w:w="0" w:type="dxa"/>
              <w:right w:w="15" w:type="dxa"/>
            </w:tcMar>
            <w:vAlign w:val="center"/>
            <w:hideMark/>
          </w:tcPr>
          <w:p w14:paraId="46A1DB7C"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Ethnicity (Hispanic/Latino), n (%)</w:t>
            </w:r>
          </w:p>
        </w:tc>
        <w:tc>
          <w:tcPr>
            <w:tcW w:w="1456" w:type="dxa"/>
            <w:shd w:val="clear" w:color="auto" w:fill="auto"/>
            <w:tcMar>
              <w:top w:w="15" w:type="dxa"/>
              <w:left w:w="15" w:type="dxa"/>
              <w:bottom w:w="0" w:type="dxa"/>
              <w:right w:w="15" w:type="dxa"/>
            </w:tcMar>
            <w:vAlign w:val="center"/>
            <w:hideMark/>
          </w:tcPr>
          <w:p w14:paraId="4A6DF2A5"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 (3.6)</w:t>
            </w:r>
          </w:p>
        </w:tc>
        <w:tc>
          <w:tcPr>
            <w:tcW w:w="1467" w:type="dxa"/>
            <w:shd w:val="clear" w:color="auto" w:fill="auto"/>
            <w:tcMar>
              <w:top w:w="15" w:type="dxa"/>
              <w:left w:w="15" w:type="dxa"/>
              <w:bottom w:w="0" w:type="dxa"/>
              <w:right w:w="15" w:type="dxa"/>
            </w:tcMar>
            <w:vAlign w:val="center"/>
            <w:hideMark/>
          </w:tcPr>
          <w:p w14:paraId="77029288"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4 (2.1)</w:t>
            </w:r>
          </w:p>
        </w:tc>
        <w:tc>
          <w:tcPr>
            <w:tcW w:w="688" w:type="dxa"/>
            <w:shd w:val="clear" w:color="auto" w:fill="auto"/>
            <w:tcMar>
              <w:top w:w="15" w:type="dxa"/>
              <w:left w:w="15" w:type="dxa"/>
              <w:bottom w:w="0" w:type="dxa"/>
              <w:right w:w="15" w:type="dxa"/>
            </w:tcMar>
            <w:vAlign w:val="center"/>
            <w:hideMark/>
          </w:tcPr>
          <w:p w14:paraId="38BC6F81"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0.092</w:t>
            </w:r>
          </w:p>
        </w:tc>
        <w:tc>
          <w:tcPr>
            <w:tcW w:w="1470" w:type="dxa"/>
            <w:shd w:val="clear" w:color="auto" w:fill="auto"/>
            <w:tcMar>
              <w:top w:w="15" w:type="dxa"/>
              <w:left w:w="15" w:type="dxa"/>
              <w:bottom w:w="0" w:type="dxa"/>
              <w:right w:w="15" w:type="dxa"/>
            </w:tcMar>
            <w:vAlign w:val="center"/>
            <w:hideMark/>
          </w:tcPr>
          <w:p w14:paraId="300E8AB2"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 (2.6)</w:t>
            </w:r>
          </w:p>
        </w:tc>
        <w:tc>
          <w:tcPr>
            <w:tcW w:w="695" w:type="dxa"/>
            <w:shd w:val="clear" w:color="auto" w:fill="auto"/>
            <w:tcMar>
              <w:top w:w="15" w:type="dxa"/>
              <w:left w:w="15" w:type="dxa"/>
              <w:bottom w:w="0" w:type="dxa"/>
              <w:right w:w="15" w:type="dxa"/>
            </w:tcMar>
            <w:vAlign w:val="center"/>
            <w:hideMark/>
          </w:tcPr>
          <w:p w14:paraId="38EB988B"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00B050"/>
                <w:sz w:val="16"/>
                <w:szCs w:val="16"/>
              </w:rPr>
              <w:t>0.057</w:t>
            </w:r>
          </w:p>
        </w:tc>
        <w:tc>
          <w:tcPr>
            <w:tcW w:w="1470" w:type="dxa"/>
            <w:shd w:val="clear" w:color="auto" w:fill="auto"/>
            <w:tcMar>
              <w:top w:w="15" w:type="dxa"/>
              <w:left w:w="15" w:type="dxa"/>
              <w:bottom w:w="0" w:type="dxa"/>
              <w:right w:w="15" w:type="dxa"/>
            </w:tcMar>
            <w:vAlign w:val="center"/>
            <w:hideMark/>
          </w:tcPr>
          <w:p w14:paraId="4147EA15"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 (1.3)</w:t>
            </w:r>
          </w:p>
        </w:tc>
        <w:tc>
          <w:tcPr>
            <w:tcW w:w="695" w:type="dxa"/>
            <w:shd w:val="clear" w:color="auto" w:fill="auto"/>
            <w:tcMar>
              <w:top w:w="15" w:type="dxa"/>
              <w:left w:w="15" w:type="dxa"/>
              <w:bottom w:w="0" w:type="dxa"/>
              <w:right w:w="15" w:type="dxa"/>
            </w:tcMar>
            <w:vAlign w:val="center"/>
            <w:hideMark/>
          </w:tcPr>
          <w:p w14:paraId="7EEBFC72"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ED8B00"/>
                <w:sz w:val="16"/>
                <w:szCs w:val="16"/>
              </w:rPr>
              <w:t>0.151</w:t>
            </w:r>
          </w:p>
        </w:tc>
      </w:tr>
      <w:tr w:rsidR="001C37E4" w:rsidRPr="001C37E4" w14:paraId="6E016770" w14:textId="77777777" w:rsidTr="00EC53DB">
        <w:trPr>
          <w:trHeight w:val="263"/>
        </w:trPr>
        <w:tc>
          <w:tcPr>
            <w:tcW w:w="2339" w:type="dxa"/>
            <w:gridSpan w:val="2"/>
            <w:shd w:val="clear" w:color="auto" w:fill="auto"/>
            <w:tcMar>
              <w:top w:w="15" w:type="dxa"/>
              <w:left w:w="15" w:type="dxa"/>
              <w:bottom w:w="0" w:type="dxa"/>
              <w:right w:w="15" w:type="dxa"/>
            </w:tcMar>
            <w:vAlign w:val="center"/>
            <w:hideMark/>
          </w:tcPr>
          <w:p w14:paraId="4E51957E"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Diabetes, n (%)</w:t>
            </w:r>
          </w:p>
        </w:tc>
        <w:tc>
          <w:tcPr>
            <w:tcW w:w="1456" w:type="dxa"/>
            <w:shd w:val="clear" w:color="auto" w:fill="auto"/>
            <w:tcMar>
              <w:top w:w="15" w:type="dxa"/>
              <w:left w:w="15" w:type="dxa"/>
              <w:bottom w:w="0" w:type="dxa"/>
              <w:right w:w="15" w:type="dxa"/>
            </w:tcMar>
            <w:vAlign w:val="center"/>
            <w:hideMark/>
          </w:tcPr>
          <w:p w14:paraId="2AE0E53B"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33 (19.9)</w:t>
            </w:r>
          </w:p>
        </w:tc>
        <w:tc>
          <w:tcPr>
            <w:tcW w:w="1467" w:type="dxa"/>
            <w:shd w:val="clear" w:color="auto" w:fill="auto"/>
            <w:tcMar>
              <w:top w:w="15" w:type="dxa"/>
              <w:left w:w="15" w:type="dxa"/>
              <w:bottom w:w="0" w:type="dxa"/>
              <w:right w:w="15" w:type="dxa"/>
            </w:tcMar>
            <w:vAlign w:val="center"/>
            <w:hideMark/>
          </w:tcPr>
          <w:p w14:paraId="10C6D5D6"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25 (13.0)</w:t>
            </w:r>
          </w:p>
        </w:tc>
        <w:tc>
          <w:tcPr>
            <w:tcW w:w="688" w:type="dxa"/>
            <w:shd w:val="clear" w:color="auto" w:fill="auto"/>
            <w:tcMar>
              <w:top w:w="15" w:type="dxa"/>
              <w:left w:w="15" w:type="dxa"/>
              <w:bottom w:w="0" w:type="dxa"/>
              <w:right w:w="15" w:type="dxa"/>
            </w:tcMar>
            <w:vAlign w:val="center"/>
            <w:hideMark/>
          </w:tcPr>
          <w:p w14:paraId="37063E92"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0.186</w:t>
            </w:r>
          </w:p>
        </w:tc>
        <w:tc>
          <w:tcPr>
            <w:tcW w:w="1470" w:type="dxa"/>
            <w:shd w:val="clear" w:color="auto" w:fill="auto"/>
            <w:tcMar>
              <w:top w:w="15" w:type="dxa"/>
              <w:left w:w="15" w:type="dxa"/>
              <w:bottom w:w="0" w:type="dxa"/>
              <w:right w:w="15" w:type="dxa"/>
            </w:tcMar>
            <w:vAlign w:val="center"/>
            <w:hideMark/>
          </w:tcPr>
          <w:p w14:paraId="059B39FD"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13 (11.4)</w:t>
            </w:r>
          </w:p>
        </w:tc>
        <w:tc>
          <w:tcPr>
            <w:tcW w:w="695" w:type="dxa"/>
            <w:shd w:val="clear" w:color="auto" w:fill="auto"/>
            <w:tcMar>
              <w:top w:w="15" w:type="dxa"/>
              <w:left w:w="15" w:type="dxa"/>
              <w:bottom w:w="0" w:type="dxa"/>
              <w:right w:w="15" w:type="dxa"/>
            </w:tcMar>
            <w:vAlign w:val="center"/>
            <w:hideMark/>
          </w:tcPr>
          <w:p w14:paraId="2F0C554F"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0.235</w:t>
            </w:r>
          </w:p>
        </w:tc>
        <w:tc>
          <w:tcPr>
            <w:tcW w:w="1470" w:type="dxa"/>
            <w:shd w:val="clear" w:color="auto" w:fill="auto"/>
            <w:tcMar>
              <w:top w:w="15" w:type="dxa"/>
              <w:left w:w="15" w:type="dxa"/>
              <w:bottom w:w="0" w:type="dxa"/>
              <w:right w:w="15" w:type="dxa"/>
            </w:tcMar>
            <w:vAlign w:val="center"/>
            <w:hideMark/>
          </w:tcPr>
          <w:p w14:paraId="07318C99"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12 (15.4)</w:t>
            </w:r>
          </w:p>
        </w:tc>
        <w:tc>
          <w:tcPr>
            <w:tcW w:w="695" w:type="dxa"/>
            <w:shd w:val="clear" w:color="auto" w:fill="auto"/>
            <w:tcMar>
              <w:top w:w="15" w:type="dxa"/>
              <w:left w:w="15" w:type="dxa"/>
              <w:bottom w:w="0" w:type="dxa"/>
              <w:right w:w="15" w:type="dxa"/>
            </w:tcMar>
            <w:vAlign w:val="center"/>
            <w:hideMark/>
          </w:tcPr>
          <w:p w14:paraId="12EB7558"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0.118</w:t>
            </w:r>
          </w:p>
        </w:tc>
      </w:tr>
      <w:tr w:rsidR="001C37E4" w:rsidRPr="001C37E4" w14:paraId="714D5D33" w14:textId="77777777" w:rsidTr="00EC53DB">
        <w:trPr>
          <w:trHeight w:val="263"/>
        </w:trPr>
        <w:tc>
          <w:tcPr>
            <w:tcW w:w="2339" w:type="dxa"/>
            <w:gridSpan w:val="2"/>
            <w:shd w:val="clear" w:color="auto" w:fill="auto"/>
            <w:tcMar>
              <w:top w:w="15" w:type="dxa"/>
              <w:left w:w="15" w:type="dxa"/>
              <w:bottom w:w="0" w:type="dxa"/>
              <w:right w:w="15" w:type="dxa"/>
            </w:tcMar>
            <w:vAlign w:val="center"/>
            <w:hideMark/>
          </w:tcPr>
          <w:p w14:paraId="46EA35EA"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Hypertension (%)</w:t>
            </w:r>
          </w:p>
        </w:tc>
        <w:tc>
          <w:tcPr>
            <w:tcW w:w="1456" w:type="dxa"/>
            <w:shd w:val="clear" w:color="auto" w:fill="auto"/>
            <w:tcMar>
              <w:top w:w="15" w:type="dxa"/>
              <w:left w:w="15" w:type="dxa"/>
              <w:bottom w:w="0" w:type="dxa"/>
              <w:right w:w="15" w:type="dxa"/>
            </w:tcMar>
            <w:vAlign w:val="center"/>
            <w:hideMark/>
          </w:tcPr>
          <w:p w14:paraId="22232029"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115 (69.3)</w:t>
            </w:r>
          </w:p>
        </w:tc>
        <w:tc>
          <w:tcPr>
            <w:tcW w:w="1467" w:type="dxa"/>
            <w:shd w:val="clear" w:color="auto" w:fill="auto"/>
            <w:tcMar>
              <w:top w:w="15" w:type="dxa"/>
              <w:left w:w="15" w:type="dxa"/>
              <w:bottom w:w="0" w:type="dxa"/>
              <w:right w:w="15" w:type="dxa"/>
            </w:tcMar>
            <w:vAlign w:val="center"/>
            <w:hideMark/>
          </w:tcPr>
          <w:p w14:paraId="389589AE"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116 (60.4)</w:t>
            </w:r>
          </w:p>
        </w:tc>
        <w:tc>
          <w:tcPr>
            <w:tcW w:w="688" w:type="dxa"/>
            <w:shd w:val="clear" w:color="auto" w:fill="auto"/>
            <w:tcMar>
              <w:top w:w="15" w:type="dxa"/>
              <w:left w:w="15" w:type="dxa"/>
              <w:bottom w:w="0" w:type="dxa"/>
              <w:right w:w="15" w:type="dxa"/>
            </w:tcMar>
            <w:vAlign w:val="center"/>
            <w:hideMark/>
          </w:tcPr>
          <w:p w14:paraId="5BCFA84F"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0.186</w:t>
            </w:r>
          </w:p>
        </w:tc>
        <w:tc>
          <w:tcPr>
            <w:tcW w:w="1470" w:type="dxa"/>
            <w:shd w:val="clear" w:color="auto" w:fill="auto"/>
            <w:tcMar>
              <w:top w:w="15" w:type="dxa"/>
              <w:left w:w="15" w:type="dxa"/>
              <w:bottom w:w="0" w:type="dxa"/>
              <w:right w:w="15" w:type="dxa"/>
            </w:tcMar>
            <w:vAlign w:val="center"/>
            <w:hideMark/>
          </w:tcPr>
          <w:p w14:paraId="4878BF35"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68 (59.6)</w:t>
            </w:r>
          </w:p>
        </w:tc>
        <w:tc>
          <w:tcPr>
            <w:tcW w:w="695" w:type="dxa"/>
            <w:shd w:val="clear" w:color="auto" w:fill="auto"/>
            <w:tcMar>
              <w:top w:w="15" w:type="dxa"/>
              <w:left w:w="15" w:type="dxa"/>
              <w:bottom w:w="0" w:type="dxa"/>
              <w:right w:w="15" w:type="dxa"/>
            </w:tcMar>
            <w:vAlign w:val="center"/>
            <w:hideMark/>
          </w:tcPr>
          <w:p w14:paraId="5B4C2C4B"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0.202</w:t>
            </w:r>
          </w:p>
        </w:tc>
        <w:tc>
          <w:tcPr>
            <w:tcW w:w="1470" w:type="dxa"/>
            <w:shd w:val="clear" w:color="auto" w:fill="auto"/>
            <w:tcMar>
              <w:top w:w="15" w:type="dxa"/>
              <w:left w:w="15" w:type="dxa"/>
              <w:bottom w:w="0" w:type="dxa"/>
              <w:right w:w="15" w:type="dxa"/>
            </w:tcMar>
            <w:vAlign w:val="center"/>
            <w:hideMark/>
          </w:tcPr>
          <w:p w14:paraId="144C237F"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48 (61.5)</w:t>
            </w:r>
          </w:p>
        </w:tc>
        <w:tc>
          <w:tcPr>
            <w:tcW w:w="695" w:type="dxa"/>
            <w:shd w:val="clear" w:color="auto" w:fill="auto"/>
            <w:tcMar>
              <w:top w:w="15" w:type="dxa"/>
              <w:left w:w="15" w:type="dxa"/>
              <w:bottom w:w="0" w:type="dxa"/>
              <w:right w:w="15" w:type="dxa"/>
            </w:tcMar>
            <w:vAlign w:val="center"/>
            <w:hideMark/>
          </w:tcPr>
          <w:p w14:paraId="47FA8857"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0.163</w:t>
            </w:r>
          </w:p>
        </w:tc>
      </w:tr>
      <w:tr w:rsidR="001C37E4" w:rsidRPr="001C37E4" w14:paraId="29665AC0" w14:textId="77777777" w:rsidTr="00EC53DB">
        <w:trPr>
          <w:trHeight w:val="263"/>
        </w:trPr>
        <w:tc>
          <w:tcPr>
            <w:tcW w:w="2339" w:type="dxa"/>
            <w:gridSpan w:val="2"/>
            <w:shd w:val="clear" w:color="auto" w:fill="auto"/>
            <w:tcMar>
              <w:top w:w="15" w:type="dxa"/>
              <w:left w:w="15" w:type="dxa"/>
              <w:bottom w:w="0" w:type="dxa"/>
              <w:right w:w="15" w:type="dxa"/>
            </w:tcMar>
            <w:vAlign w:val="center"/>
            <w:hideMark/>
          </w:tcPr>
          <w:p w14:paraId="3FFD6770"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Heart disease - composite</w:t>
            </w:r>
            <w:r w:rsidRPr="001C37E4">
              <w:rPr>
                <w:rFonts w:ascii="Arial" w:eastAsia="Times New Roman" w:hAnsi="Arial"/>
                <w:color w:val="000000"/>
                <w:position w:val="6"/>
                <w:sz w:val="16"/>
                <w:szCs w:val="16"/>
                <w:vertAlign w:val="superscript"/>
              </w:rPr>
              <w:t>a</w:t>
            </w:r>
            <w:r w:rsidRPr="001C37E4">
              <w:rPr>
                <w:rFonts w:ascii="Arial" w:eastAsia="Times New Roman" w:hAnsi="Arial"/>
                <w:color w:val="000000"/>
                <w:sz w:val="16"/>
                <w:szCs w:val="16"/>
              </w:rPr>
              <w:t>, n (%)</w:t>
            </w:r>
          </w:p>
        </w:tc>
        <w:tc>
          <w:tcPr>
            <w:tcW w:w="1456" w:type="dxa"/>
            <w:shd w:val="clear" w:color="auto" w:fill="auto"/>
            <w:tcMar>
              <w:top w:w="15" w:type="dxa"/>
              <w:left w:w="15" w:type="dxa"/>
              <w:bottom w:w="0" w:type="dxa"/>
              <w:right w:w="15" w:type="dxa"/>
            </w:tcMar>
            <w:vAlign w:val="center"/>
            <w:hideMark/>
          </w:tcPr>
          <w:p w14:paraId="7775FB8A"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15 (9.0)</w:t>
            </w:r>
          </w:p>
        </w:tc>
        <w:tc>
          <w:tcPr>
            <w:tcW w:w="1467" w:type="dxa"/>
            <w:shd w:val="clear" w:color="auto" w:fill="auto"/>
            <w:tcMar>
              <w:top w:w="15" w:type="dxa"/>
              <w:left w:w="15" w:type="dxa"/>
              <w:bottom w:w="0" w:type="dxa"/>
              <w:right w:w="15" w:type="dxa"/>
            </w:tcMar>
            <w:vAlign w:val="center"/>
            <w:hideMark/>
          </w:tcPr>
          <w:p w14:paraId="043FE4C2"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14 (7.3)</w:t>
            </w:r>
          </w:p>
        </w:tc>
        <w:tc>
          <w:tcPr>
            <w:tcW w:w="688" w:type="dxa"/>
            <w:shd w:val="clear" w:color="auto" w:fill="auto"/>
            <w:tcMar>
              <w:top w:w="15" w:type="dxa"/>
              <w:left w:w="15" w:type="dxa"/>
              <w:bottom w:w="0" w:type="dxa"/>
              <w:right w:w="15" w:type="dxa"/>
            </w:tcMar>
            <w:vAlign w:val="center"/>
            <w:hideMark/>
          </w:tcPr>
          <w:p w14:paraId="22379143"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0.064</w:t>
            </w:r>
          </w:p>
        </w:tc>
        <w:tc>
          <w:tcPr>
            <w:tcW w:w="1470" w:type="dxa"/>
            <w:shd w:val="clear" w:color="auto" w:fill="auto"/>
            <w:tcMar>
              <w:top w:w="15" w:type="dxa"/>
              <w:left w:w="15" w:type="dxa"/>
              <w:bottom w:w="0" w:type="dxa"/>
              <w:right w:w="15" w:type="dxa"/>
            </w:tcMar>
            <w:vAlign w:val="center"/>
            <w:hideMark/>
          </w:tcPr>
          <w:p w14:paraId="48CC8650"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10 (8.8)</w:t>
            </w:r>
          </w:p>
        </w:tc>
        <w:tc>
          <w:tcPr>
            <w:tcW w:w="695" w:type="dxa"/>
            <w:shd w:val="clear" w:color="auto" w:fill="auto"/>
            <w:tcMar>
              <w:top w:w="15" w:type="dxa"/>
              <w:left w:w="15" w:type="dxa"/>
              <w:bottom w:w="0" w:type="dxa"/>
              <w:right w:w="15" w:type="dxa"/>
            </w:tcMar>
            <w:vAlign w:val="center"/>
            <w:hideMark/>
          </w:tcPr>
          <w:p w14:paraId="69499622"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00B050"/>
                <w:sz w:val="16"/>
                <w:szCs w:val="16"/>
              </w:rPr>
              <w:t>0.009</w:t>
            </w:r>
          </w:p>
        </w:tc>
        <w:tc>
          <w:tcPr>
            <w:tcW w:w="1470" w:type="dxa"/>
            <w:shd w:val="clear" w:color="auto" w:fill="auto"/>
            <w:tcMar>
              <w:top w:w="15" w:type="dxa"/>
              <w:left w:w="15" w:type="dxa"/>
              <w:bottom w:w="0" w:type="dxa"/>
              <w:right w:w="15" w:type="dxa"/>
            </w:tcMar>
            <w:vAlign w:val="center"/>
            <w:hideMark/>
          </w:tcPr>
          <w:p w14:paraId="471185D8"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4 (5.1)</w:t>
            </w:r>
          </w:p>
        </w:tc>
        <w:tc>
          <w:tcPr>
            <w:tcW w:w="695" w:type="dxa"/>
            <w:shd w:val="clear" w:color="auto" w:fill="auto"/>
            <w:tcMar>
              <w:top w:w="15" w:type="dxa"/>
              <w:left w:w="15" w:type="dxa"/>
              <w:bottom w:w="0" w:type="dxa"/>
              <w:right w:w="15" w:type="dxa"/>
            </w:tcMar>
            <w:vAlign w:val="center"/>
            <w:hideMark/>
          </w:tcPr>
          <w:p w14:paraId="0648941A"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ED8B00"/>
                <w:sz w:val="16"/>
                <w:szCs w:val="16"/>
              </w:rPr>
              <w:t>0.153</w:t>
            </w:r>
          </w:p>
        </w:tc>
      </w:tr>
      <w:tr w:rsidR="001C37E4" w:rsidRPr="001C37E4" w14:paraId="5783AA1F" w14:textId="77777777" w:rsidTr="00EC53DB">
        <w:trPr>
          <w:trHeight w:val="464"/>
        </w:trPr>
        <w:tc>
          <w:tcPr>
            <w:tcW w:w="2339" w:type="dxa"/>
            <w:gridSpan w:val="2"/>
            <w:shd w:val="clear" w:color="auto" w:fill="auto"/>
            <w:tcMar>
              <w:top w:w="15" w:type="dxa"/>
              <w:left w:w="15" w:type="dxa"/>
              <w:bottom w:w="0" w:type="dxa"/>
              <w:right w:w="15" w:type="dxa"/>
            </w:tcMar>
            <w:vAlign w:val="center"/>
            <w:hideMark/>
          </w:tcPr>
          <w:p w14:paraId="56B43F28"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Thromboembolic event - composite</w:t>
            </w:r>
            <w:r w:rsidRPr="001C37E4">
              <w:rPr>
                <w:rFonts w:ascii="Arial" w:eastAsia="Times New Roman" w:hAnsi="Arial"/>
                <w:color w:val="000000"/>
                <w:sz w:val="16"/>
                <w:szCs w:val="16"/>
                <w:vertAlign w:val="superscript"/>
              </w:rPr>
              <w:t>b</w:t>
            </w:r>
            <w:r w:rsidRPr="001C37E4">
              <w:rPr>
                <w:rFonts w:ascii="Arial" w:eastAsia="Times New Roman" w:hAnsi="Arial"/>
                <w:color w:val="000000"/>
                <w:sz w:val="16"/>
                <w:szCs w:val="16"/>
              </w:rPr>
              <w:t>,n (%)</w:t>
            </w:r>
          </w:p>
        </w:tc>
        <w:tc>
          <w:tcPr>
            <w:tcW w:w="1456" w:type="dxa"/>
            <w:shd w:val="clear" w:color="auto" w:fill="auto"/>
            <w:tcMar>
              <w:top w:w="15" w:type="dxa"/>
              <w:left w:w="15" w:type="dxa"/>
              <w:bottom w:w="0" w:type="dxa"/>
              <w:right w:w="15" w:type="dxa"/>
            </w:tcMar>
            <w:vAlign w:val="center"/>
            <w:hideMark/>
          </w:tcPr>
          <w:p w14:paraId="5BE7BF57"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18 (10.8)</w:t>
            </w:r>
          </w:p>
        </w:tc>
        <w:tc>
          <w:tcPr>
            <w:tcW w:w="1467" w:type="dxa"/>
            <w:shd w:val="clear" w:color="auto" w:fill="auto"/>
            <w:tcMar>
              <w:top w:w="15" w:type="dxa"/>
              <w:left w:w="15" w:type="dxa"/>
              <w:bottom w:w="0" w:type="dxa"/>
              <w:right w:w="15" w:type="dxa"/>
            </w:tcMar>
            <w:vAlign w:val="center"/>
            <w:hideMark/>
          </w:tcPr>
          <w:p w14:paraId="64A45654"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13 (6.8)</w:t>
            </w:r>
          </w:p>
        </w:tc>
        <w:tc>
          <w:tcPr>
            <w:tcW w:w="688" w:type="dxa"/>
            <w:shd w:val="clear" w:color="auto" w:fill="auto"/>
            <w:tcMar>
              <w:top w:w="15" w:type="dxa"/>
              <w:left w:w="15" w:type="dxa"/>
              <w:bottom w:w="0" w:type="dxa"/>
              <w:right w:w="15" w:type="dxa"/>
            </w:tcMar>
            <w:vAlign w:val="center"/>
            <w:hideMark/>
          </w:tcPr>
          <w:p w14:paraId="0F90B9AC"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0.144</w:t>
            </w:r>
          </w:p>
        </w:tc>
        <w:tc>
          <w:tcPr>
            <w:tcW w:w="1470" w:type="dxa"/>
            <w:shd w:val="clear" w:color="auto" w:fill="auto"/>
            <w:tcMar>
              <w:top w:w="15" w:type="dxa"/>
              <w:left w:w="15" w:type="dxa"/>
              <w:bottom w:w="0" w:type="dxa"/>
              <w:right w:w="15" w:type="dxa"/>
            </w:tcMar>
            <w:vAlign w:val="center"/>
            <w:hideMark/>
          </w:tcPr>
          <w:p w14:paraId="3E2FB734"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 (5.3)</w:t>
            </w:r>
          </w:p>
        </w:tc>
        <w:tc>
          <w:tcPr>
            <w:tcW w:w="695" w:type="dxa"/>
            <w:shd w:val="clear" w:color="auto" w:fill="auto"/>
            <w:tcMar>
              <w:top w:w="15" w:type="dxa"/>
              <w:left w:w="15" w:type="dxa"/>
              <w:bottom w:w="0" w:type="dxa"/>
              <w:right w:w="15" w:type="dxa"/>
            </w:tcMar>
            <w:vAlign w:val="center"/>
            <w:hideMark/>
          </w:tcPr>
          <w:p w14:paraId="479416D0"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FF0000"/>
                <w:sz w:val="16"/>
                <w:szCs w:val="16"/>
              </w:rPr>
              <w:t>0.206</w:t>
            </w:r>
          </w:p>
        </w:tc>
        <w:tc>
          <w:tcPr>
            <w:tcW w:w="1470" w:type="dxa"/>
            <w:shd w:val="clear" w:color="auto" w:fill="auto"/>
            <w:tcMar>
              <w:top w:w="15" w:type="dxa"/>
              <w:left w:w="15" w:type="dxa"/>
              <w:bottom w:w="0" w:type="dxa"/>
              <w:right w:w="15" w:type="dxa"/>
            </w:tcMar>
            <w:vAlign w:val="center"/>
            <w:hideMark/>
          </w:tcPr>
          <w:p w14:paraId="173C09FF"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7 (9.0)</w:t>
            </w:r>
          </w:p>
        </w:tc>
        <w:tc>
          <w:tcPr>
            <w:tcW w:w="695" w:type="dxa"/>
            <w:shd w:val="clear" w:color="auto" w:fill="auto"/>
            <w:tcMar>
              <w:top w:w="15" w:type="dxa"/>
              <w:left w:w="15" w:type="dxa"/>
              <w:bottom w:w="0" w:type="dxa"/>
              <w:right w:w="15" w:type="dxa"/>
            </w:tcMar>
            <w:vAlign w:val="center"/>
            <w:hideMark/>
          </w:tcPr>
          <w:p w14:paraId="75584CB5"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00B050"/>
                <w:sz w:val="16"/>
                <w:szCs w:val="16"/>
              </w:rPr>
              <w:t>0.063</w:t>
            </w:r>
          </w:p>
        </w:tc>
      </w:tr>
      <w:tr w:rsidR="001C37E4" w:rsidRPr="001C37E4" w14:paraId="7B593FD2" w14:textId="77777777" w:rsidTr="00EC53DB">
        <w:trPr>
          <w:trHeight w:val="263"/>
        </w:trPr>
        <w:tc>
          <w:tcPr>
            <w:tcW w:w="2339" w:type="dxa"/>
            <w:gridSpan w:val="2"/>
            <w:shd w:val="clear" w:color="auto" w:fill="auto"/>
            <w:tcMar>
              <w:top w:w="15" w:type="dxa"/>
              <w:left w:w="15" w:type="dxa"/>
              <w:bottom w:w="0" w:type="dxa"/>
              <w:right w:w="15" w:type="dxa"/>
            </w:tcMar>
            <w:vAlign w:val="center"/>
            <w:hideMark/>
          </w:tcPr>
          <w:p w14:paraId="71225687"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Other arrhythmia - composite</w:t>
            </w:r>
            <w:r w:rsidRPr="001C37E4">
              <w:rPr>
                <w:rFonts w:ascii="Arial" w:eastAsia="Times New Roman" w:hAnsi="Arial"/>
                <w:color w:val="000000"/>
                <w:sz w:val="16"/>
                <w:szCs w:val="16"/>
                <w:vertAlign w:val="superscript"/>
              </w:rPr>
              <w:t>c</w:t>
            </w:r>
            <w:r w:rsidRPr="001C37E4">
              <w:rPr>
                <w:rFonts w:ascii="Arial" w:eastAsia="Times New Roman" w:hAnsi="Arial"/>
                <w:color w:val="000000"/>
                <w:sz w:val="16"/>
                <w:szCs w:val="16"/>
              </w:rPr>
              <w:t>, n (%)</w:t>
            </w:r>
          </w:p>
        </w:tc>
        <w:tc>
          <w:tcPr>
            <w:tcW w:w="1456" w:type="dxa"/>
            <w:shd w:val="clear" w:color="auto" w:fill="auto"/>
            <w:tcMar>
              <w:top w:w="15" w:type="dxa"/>
              <w:left w:w="15" w:type="dxa"/>
              <w:bottom w:w="0" w:type="dxa"/>
              <w:right w:w="15" w:type="dxa"/>
            </w:tcMar>
            <w:vAlign w:val="center"/>
            <w:hideMark/>
          </w:tcPr>
          <w:p w14:paraId="4D5E6F21"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44 (26.5)</w:t>
            </w:r>
          </w:p>
        </w:tc>
        <w:tc>
          <w:tcPr>
            <w:tcW w:w="1467" w:type="dxa"/>
            <w:shd w:val="clear" w:color="auto" w:fill="auto"/>
            <w:tcMar>
              <w:top w:w="15" w:type="dxa"/>
              <w:left w:w="15" w:type="dxa"/>
              <w:bottom w:w="0" w:type="dxa"/>
              <w:right w:w="15" w:type="dxa"/>
            </w:tcMar>
            <w:vAlign w:val="center"/>
            <w:hideMark/>
          </w:tcPr>
          <w:p w14:paraId="3ADA2905"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69 (35.9)</w:t>
            </w:r>
          </w:p>
        </w:tc>
        <w:tc>
          <w:tcPr>
            <w:tcW w:w="688" w:type="dxa"/>
            <w:shd w:val="clear" w:color="auto" w:fill="auto"/>
            <w:tcMar>
              <w:top w:w="15" w:type="dxa"/>
              <w:left w:w="15" w:type="dxa"/>
              <w:bottom w:w="0" w:type="dxa"/>
              <w:right w:w="15" w:type="dxa"/>
            </w:tcMar>
            <w:vAlign w:val="center"/>
            <w:hideMark/>
          </w:tcPr>
          <w:p w14:paraId="5E646B19"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0.205</w:t>
            </w:r>
          </w:p>
        </w:tc>
        <w:tc>
          <w:tcPr>
            <w:tcW w:w="1470" w:type="dxa"/>
            <w:shd w:val="clear" w:color="auto" w:fill="auto"/>
            <w:tcMar>
              <w:top w:w="15" w:type="dxa"/>
              <w:left w:w="15" w:type="dxa"/>
              <w:bottom w:w="0" w:type="dxa"/>
              <w:right w:w="15" w:type="dxa"/>
            </w:tcMar>
            <w:vAlign w:val="center"/>
            <w:hideMark/>
          </w:tcPr>
          <w:p w14:paraId="4D6D8675"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42 (36.8)</w:t>
            </w:r>
          </w:p>
        </w:tc>
        <w:tc>
          <w:tcPr>
            <w:tcW w:w="695" w:type="dxa"/>
            <w:shd w:val="clear" w:color="auto" w:fill="auto"/>
            <w:tcMar>
              <w:top w:w="15" w:type="dxa"/>
              <w:left w:w="15" w:type="dxa"/>
              <w:bottom w:w="0" w:type="dxa"/>
              <w:right w:w="15" w:type="dxa"/>
            </w:tcMar>
            <w:vAlign w:val="center"/>
            <w:hideMark/>
          </w:tcPr>
          <w:p w14:paraId="7DCC1150"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0.224</w:t>
            </w:r>
          </w:p>
        </w:tc>
        <w:tc>
          <w:tcPr>
            <w:tcW w:w="1470" w:type="dxa"/>
            <w:shd w:val="clear" w:color="auto" w:fill="auto"/>
            <w:tcMar>
              <w:top w:w="15" w:type="dxa"/>
              <w:left w:w="15" w:type="dxa"/>
              <w:bottom w:w="0" w:type="dxa"/>
              <w:right w:w="15" w:type="dxa"/>
            </w:tcMar>
            <w:vAlign w:val="center"/>
            <w:hideMark/>
          </w:tcPr>
          <w:p w14:paraId="18C12FF6"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27 (34.6)</w:t>
            </w:r>
          </w:p>
        </w:tc>
        <w:tc>
          <w:tcPr>
            <w:tcW w:w="695" w:type="dxa"/>
            <w:shd w:val="clear" w:color="auto" w:fill="auto"/>
            <w:tcMar>
              <w:top w:w="15" w:type="dxa"/>
              <w:left w:w="15" w:type="dxa"/>
              <w:bottom w:w="0" w:type="dxa"/>
              <w:right w:w="15" w:type="dxa"/>
            </w:tcMar>
            <w:vAlign w:val="center"/>
            <w:hideMark/>
          </w:tcPr>
          <w:p w14:paraId="4659BA9F"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0.177</w:t>
            </w:r>
          </w:p>
        </w:tc>
      </w:tr>
      <w:tr w:rsidR="001C37E4" w:rsidRPr="001C37E4" w14:paraId="5CD5455E" w14:textId="77777777" w:rsidTr="00EC53DB">
        <w:trPr>
          <w:trHeight w:val="527"/>
        </w:trPr>
        <w:tc>
          <w:tcPr>
            <w:tcW w:w="2339" w:type="dxa"/>
            <w:gridSpan w:val="2"/>
            <w:shd w:val="clear" w:color="auto" w:fill="auto"/>
            <w:tcMar>
              <w:top w:w="15" w:type="dxa"/>
              <w:left w:w="15" w:type="dxa"/>
              <w:bottom w:w="0" w:type="dxa"/>
              <w:right w:w="15" w:type="dxa"/>
            </w:tcMar>
            <w:vAlign w:val="center"/>
            <w:hideMark/>
          </w:tcPr>
          <w:p w14:paraId="29F2683B"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Ablation procedure within 1 year prior to enrollment, n (%)</w:t>
            </w:r>
          </w:p>
        </w:tc>
        <w:tc>
          <w:tcPr>
            <w:tcW w:w="1456" w:type="dxa"/>
            <w:shd w:val="clear" w:color="auto" w:fill="auto"/>
            <w:tcMar>
              <w:top w:w="15" w:type="dxa"/>
              <w:left w:w="15" w:type="dxa"/>
              <w:bottom w:w="0" w:type="dxa"/>
              <w:right w:w="15" w:type="dxa"/>
            </w:tcMar>
            <w:vAlign w:val="center"/>
            <w:hideMark/>
          </w:tcPr>
          <w:p w14:paraId="53956C89"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w:t>
            </w:r>
            <w:r w:rsidRPr="001C37E4">
              <w:rPr>
                <w:rFonts w:ascii="Arial" w:eastAsia="Times New Roman" w:hAnsi="Arial"/>
                <w:color w:val="000000"/>
                <w:position w:val="6"/>
                <w:sz w:val="16"/>
                <w:szCs w:val="16"/>
                <w:vertAlign w:val="superscript"/>
              </w:rPr>
              <w:t>d</w:t>
            </w:r>
            <w:r w:rsidRPr="001C37E4">
              <w:rPr>
                <w:rFonts w:ascii="Arial" w:eastAsia="Times New Roman" w:hAnsi="Arial"/>
                <w:color w:val="000000"/>
                <w:sz w:val="16"/>
                <w:szCs w:val="16"/>
              </w:rPr>
              <w:t xml:space="preserve"> (1.8)</w:t>
            </w:r>
          </w:p>
        </w:tc>
        <w:tc>
          <w:tcPr>
            <w:tcW w:w="1467" w:type="dxa"/>
            <w:shd w:val="clear" w:color="auto" w:fill="auto"/>
            <w:tcMar>
              <w:top w:w="15" w:type="dxa"/>
              <w:left w:w="15" w:type="dxa"/>
              <w:bottom w:w="0" w:type="dxa"/>
              <w:right w:w="15" w:type="dxa"/>
            </w:tcMar>
            <w:vAlign w:val="center"/>
            <w:hideMark/>
          </w:tcPr>
          <w:p w14:paraId="26719A17"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7 (3.6)</w:t>
            </w:r>
          </w:p>
        </w:tc>
        <w:tc>
          <w:tcPr>
            <w:tcW w:w="688" w:type="dxa"/>
            <w:shd w:val="clear" w:color="auto" w:fill="auto"/>
            <w:tcMar>
              <w:top w:w="15" w:type="dxa"/>
              <w:left w:w="15" w:type="dxa"/>
              <w:bottom w:w="0" w:type="dxa"/>
              <w:right w:w="15" w:type="dxa"/>
            </w:tcMar>
            <w:vAlign w:val="center"/>
            <w:hideMark/>
          </w:tcPr>
          <w:p w14:paraId="6F31216B"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0.113</w:t>
            </w:r>
          </w:p>
        </w:tc>
        <w:tc>
          <w:tcPr>
            <w:tcW w:w="1470" w:type="dxa"/>
            <w:shd w:val="clear" w:color="auto" w:fill="auto"/>
            <w:tcMar>
              <w:top w:w="15" w:type="dxa"/>
              <w:left w:w="15" w:type="dxa"/>
              <w:bottom w:w="0" w:type="dxa"/>
              <w:right w:w="15" w:type="dxa"/>
            </w:tcMar>
            <w:vAlign w:val="center"/>
            <w:hideMark/>
          </w:tcPr>
          <w:p w14:paraId="4ADC077F"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2 (1.8)</w:t>
            </w:r>
          </w:p>
        </w:tc>
        <w:tc>
          <w:tcPr>
            <w:tcW w:w="695" w:type="dxa"/>
            <w:shd w:val="clear" w:color="auto" w:fill="auto"/>
            <w:tcMar>
              <w:top w:w="15" w:type="dxa"/>
              <w:left w:w="15" w:type="dxa"/>
              <w:bottom w:w="0" w:type="dxa"/>
              <w:right w:w="15" w:type="dxa"/>
            </w:tcMar>
            <w:vAlign w:val="center"/>
            <w:hideMark/>
          </w:tcPr>
          <w:p w14:paraId="76187644"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00B050"/>
                <w:sz w:val="16"/>
                <w:szCs w:val="16"/>
              </w:rPr>
              <w:t>0.004</w:t>
            </w:r>
          </w:p>
        </w:tc>
        <w:tc>
          <w:tcPr>
            <w:tcW w:w="1470" w:type="dxa"/>
            <w:shd w:val="clear" w:color="auto" w:fill="auto"/>
            <w:tcMar>
              <w:top w:w="15" w:type="dxa"/>
              <w:left w:w="15" w:type="dxa"/>
              <w:bottom w:w="0" w:type="dxa"/>
              <w:right w:w="15" w:type="dxa"/>
            </w:tcMar>
            <w:vAlign w:val="center"/>
            <w:hideMark/>
          </w:tcPr>
          <w:p w14:paraId="237DF475"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 (6.4)</w:t>
            </w:r>
          </w:p>
        </w:tc>
        <w:tc>
          <w:tcPr>
            <w:tcW w:w="695" w:type="dxa"/>
            <w:shd w:val="clear" w:color="auto" w:fill="auto"/>
            <w:tcMar>
              <w:top w:w="15" w:type="dxa"/>
              <w:left w:w="15" w:type="dxa"/>
              <w:bottom w:w="0" w:type="dxa"/>
              <w:right w:w="15" w:type="dxa"/>
            </w:tcMar>
            <w:vAlign w:val="center"/>
            <w:hideMark/>
          </w:tcPr>
          <w:p w14:paraId="3217F9C2"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FF0000"/>
                <w:sz w:val="16"/>
                <w:szCs w:val="16"/>
              </w:rPr>
              <w:t>0.233</w:t>
            </w:r>
          </w:p>
        </w:tc>
      </w:tr>
      <w:tr w:rsidR="001C37E4" w:rsidRPr="001C37E4" w14:paraId="0CCF68D9" w14:textId="77777777" w:rsidTr="00EC53DB">
        <w:trPr>
          <w:trHeight w:val="263"/>
        </w:trPr>
        <w:tc>
          <w:tcPr>
            <w:tcW w:w="1224" w:type="dxa"/>
            <w:vMerge w:val="restart"/>
            <w:shd w:val="clear" w:color="auto" w:fill="auto"/>
            <w:tcMar>
              <w:top w:w="15" w:type="dxa"/>
              <w:left w:w="15" w:type="dxa"/>
              <w:bottom w:w="0" w:type="dxa"/>
              <w:right w:w="15" w:type="dxa"/>
            </w:tcMar>
            <w:vAlign w:val="center"/>
            <w:hideMark/>
          </w:tcPr>
          <w:p w14:paraId="7CD30255"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Age</w:t>
            </w:r>
          </w:p>
        </w:tc>
        <w:tc>
          <w:tcPr>
            <w:tcW w:w="1115" w:type="dxa"/>
            <w:shd w:val="clear" w:color="auto" w:fill="auto"/>
            <w:tcMar>
              <w:top w:w="15" w:type="dxa"/>
              <w:left w:w="15" w:type="dxa"/>
              <w:bottom w:w="0" w:type="dxa"/>
              <w:right w:w="15" w:type="dxa"/>
            </w:tcMar>
            <w:vAlign w:val="center"/>
            <w:hideMark/>
          </w:tcPr>
          <w:p w14:paraId="460D7941"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mean (SD)</w:t>
            </w:r>
          </w:p>
        </w:tc>
        <w:tc>
          <w:tcPr>
            <w:tcW w:w="1456" w:type="dxa"/>
            <w:shd w:val="clear" w:color="auto" w:fill="auto"/>
            <w:tcMar>
              <w:top w:w="15" w:type="dxa"/>
              <w:left w:w="15" w:type="dxa"/>
              <w:bottom w:w="0" w:type="dxa"/>
              <w:right w:w="15" w:type="dxa"/>
            </w:tcMar>
            <w:vAlign w:val="center"/>
            <w:hideMark/>
          </w:tcPr>
          <w:p w14:paraId="0DF18E8E"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63.16 (11.03)</w:t>
            </w:r>
          </w:p>
        </w:tc>
        <w:tc>
          <w:tcPr>
            <w:tcW w:w="1467" w:type="dxa"/>
            <w:shd w:val="clear" w:color="auto" w:fill="auto"/>
            <w:tcMar>
              <w:top w:w="15" w:type="dxa"/>
              <w:left w:w="15" w:type="dxa"/>
              <w:bottom w:w="0" w:type="dxa"/>
              <w:right w:w="15" w:type="dxa"/>
            </w:tcMar>
            <w:vAlign w:val="center"/>
            <w:hideMark/>
          </w:tcPr>
          <w:p w14:paraId="06F68C32"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60.77 (10.95)</w:t>
            </w:r>
          </w:p>
        </w:tc>
        <w:tc>
          <w:tcPr>
            <w:tcW w:w="688" w:type="dxa"/>
            <w:vMerge w:val="restart"/>
            <w:shd w:val="clear" w:color="auto" w:fill="auto"/>
            <w:tcMar>
              <w:top w:w="15" w:type="dxa"/>
              <w:left w:w="15" w:type="dxa"/>
              <w:bottom w:w="0" w:type="dxa"/>
              <w:right w:w="15" w:type="dxa"/>
            </w:tcMar>
            <w:vAlign w:val="center"/>
            <w:hideMark/>
          </w:tcPr>
          <w:p w14:paraId="3B6D0CE4"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FF0000"/>
                <w:sz w:val="16"/>
                <w:szCs w:val="16"/>
              </w:rPr>
              <w:t>0.218</w:t>
            </w:r>
          </w:p>
        </w:tc>
        <w:tc>
          <w:tcPr>
            <w:tcW w:w="1470" w:type="dxa"/>
            <w:shd w:val="clear" w:color="auto" w:fill="auto"/>
            <w:tcMar>
              <w:top w:w="15" w:type="dxa"/>
              <w:left w:w="15" w:type="dxa"/>
              <w:bottom w:w="0" w:type="dxa"/>
              <w:right w:w="15" w:type="dxa"/>
            </w:tcMar>
            <w:vAlign w:val="center"/>
            <w:hideMark/>
          </w:tcPr>
          <w:p w14:paraId="61945F8B"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57.99 (10.96)</w:t>
            </w:r>
          </w:p>
        </w:tc>
        <w:tc>
          <w:tcPr>
            <w:tcW w:w="695" w:type="dxa"/>
            <w:vMerge w:val="restart"/>
            <w:shd w:val="clear" w:color="auto" w:fill="auto"/>
            <w:tcMar>
              <w:top w:w="15" w:type="dxa"/>
              <w:left w:w="15" w:type="dxa"/>
              <w:bottom w:w="0" w:type="dxa"/>
              <w:right w:w="15" w:type="dxa"/>
            </w:tcMar>
            <w:vAlign w:val="center"/>
            <w:hideMark/>
          </w:tcPr>
          <w:p w14:paraId="142233BC"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FF0000"/>
                <w:sz w:val="16"/>
                <w:szCs w:val="16"/>
              </w:rPr>
              <w:t>0.470</w:t>
            </w:r>
          </w:p>
        </w:tc>
        <w:tc>
          <w:tcPr>
            <w:tcW w:w="1470" w:type="dxa"/>
            <w:shd w:val="clear" w:color="auto" w:fill="auto"/>
            <w:tcMar>
              <w:top w:w="15" w:type="dxa"/>
              <w:left w:w="15" w:type="dxa"/>
              <w:bottom w:w="0" w:type="dxa"/>
              <w:right w:w="15" w:type="dxa"/>
            </w:tcMar>
            <w:vAlign w:val="center"/>
            <w:hideMark/>
          </w:tcPr>
          <w:p w14:paraId="7F277DC6"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64.82 (9.65)</w:t>
            </w:r>
          </w:p>
        </w:tc>
        <w:tc>
          <w:tcPr>
            <w:tcW w:w="695" w:type="dxa"/>
            <w:vMerge w:val="restart"/>
            <w:shd w:val="clear" w:color="auto" w:fill="auto"/>
            <w:tcMar>
              <w:top w:w="15" w:type="dxa"/>
              <w:left w:w="15" w:type="dxa"/>
              <w:bottom w:w="0" w:type="dxa"/>
              <w:right w:w="15" w:type="dxa"/>
            </w:tcMar>
            <w:vAlign w:val="center"/>
            <w:hideMark/>
          </w:tcPr>
          <w:p w14:paraId="291103E6" w14:textId="77777777" w:rsidR="001C37E4" w:rsidRPr="001C37E4" w:rsidRDefault="001C37E4" w:rsidP="001C37E4">
            <w:pPr>
              <w:spacing w:after="0" w:line="240" w:lineRule="auto"/>
              <w:jc w:val="center"/>
              <w:textAlignment w:val="bottom"/>
              <w:rPr>
                <w:rFonts w:ascii="Arial" w:eastAsia="Times New Roman" w:hAnsi="Arial"/>
                <w:b/>
                <w:color w:val="FF0000"/>
                <w:sz w:val="16"/>
                <w:szCs w:val="16"/>
              </w:rPr>
            </w:pPr>
            <w:r w:rsidRPr="001C37E4">
              <w:rPr>
                <w:rFonts w:ascii="Arial" w:eastAsia="Times New Roman" w:hAnsi="Arial"/>
                <w:b/>
                <w:color w:val="ED8B00"/>
                <w:sz w:val="16"/>
                <w:szCs w:val="16"/>
              </w:rPr>
              <w:t>0.161</w:t>
            </w:r>
          </w:p>
        </w:tc>
      </w:tr>
      <w:tr w:rsidR="001C37E4" w:rsidRPr="001C37E4" w14:paraId="5688D483" w14:textId="77777777" w:rsidTr="00EC53DB">
        <w:trPr>
          <w:trHeight w:val="263"/>
        </w:trPr>
        <w:tc>
          <w:tcPr>
            <w:tcW w:w="0" w:type="auto"/>
            <w:vMerge/>
            <w:vAlign w:val="center"/>
            <w:hideMark/>
          </w:tcPr>
          <w:p w14:paraId="0BF5FB97"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115" w:type="dxa"/>
            <w:shd w:val="clear" w:color="auto" w:fill="auto"/>
            <w:tcMar>
              <w:top w:w="15" w:type="dxa"/>
              <w:left w:w="15" w:type="dxa"/>
              <w:bottom w:w="0" w:type="dxa"/>
              <w:right w:w="15" w:type="dxa"/>
            </w:tcMar>
            <w:vAlign w:val="center"/>
            <w:hideMark/>
          </w:tcPr>
          <w:p w14:paraId="76C19084"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median [IQR]</w:t>
            </w:r>
          </w:p>
        </w:tc>
        <w:tc>
          <w:tcPr>
            <w:tcW w:w="1456" w:type="dxa"/>
            <w:shd w:val="clear" w:color="auto" w:fill="auto"/>
            <w:tcMar>
              <w:top w:w="15" w:type="dxa"/>
              <w:left w:w="15" w:type="dxa"/>
              <w:bottom w:w="0" w:type="dxa"/>
              <w:right w:w="15" w:type="dxa"/>
            </w:tcMar>
            <w:vAlign w:val="center"/>
            <w:hideMark/>
          </w:tcPr>
          <w:p w14:paraId="7AD20EC9"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65.50 [56.25, 71.00]</w:t>
            </w:r>
          </w:p>
        </w:tc>
        <w:tc>
          <w:tcPr>
            <w:tcW w:w="1467" w:type="dxa"/>
            <w:shd w:val="clear" w:color="auto" w:fill="auto"/>
            <w:tcMar>
              <w:top w:w="15" w:type="dxa"/>
              <w:left w:w="15" w:type="dxa"/>
              <w:bottom w:w="0" w:type="dxa"/>
              <w:right w:w="15" w:type="dxa"/>
            </w:tcMar>
            <w:vAlign w:val="center"/>
            <w:hideMark/>
          </w:tcPr>
          <w:p w14:paraId="678E3884"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61.50 [53.00, 68.25]</w:t>
            </w:r>
          </w:p>
        </w:tc>
        <w:tc>
          <w:tcPr>
            <w:tcW w:w="0" w:type="auto"/>
            <w:vMerge/>
            <w:vAlign w:val="center"/>
            <w:hideMark/>
          </w:tcPr>
          <w:p w14:paraId="561B17C3"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470" w:type="dxa"/>
            <w:shd w:val="clear" w:color="auto" w:fill="auto"/>
            <w:tcMar>
              <w:top w:w="15" w:type="dxa"/>
              <w:left w:w="15" w:type="dxa"/>
              <w:bottom w:w="0" w:type="dxa"/>
              <w:right w:w="15" w:type="dxa"/>
            </w:tcMar>
            <w:vAlign w:val="center"/>
            <w:hideMark/>
          </w:tcPr>
          <w:p w14:paraId="686B7EAF"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59.00 [51.25, 66.00]</w:t>
            </w:r>
          </w:p>
        </w:tc>
        <w:tc>
          <w:tcPr>
            <w:tcW w:w="0" w:type="auto"/>
            <w:vMerge/>
            <w:vAlign w:val="center"/>
            <w:hideMark/>
          </w:tcPr>
          <w:p w14:paraId="7EE80086" w14:textId="77777777" w:rsidR="001C37E4" w:rsidRPr="001C37E4" w:rsidRDefault="001C37E4" w:rsidP="001C37E4">
            <w:pPr>
              <w:spacing w:after="0" w:line="240" w:lineRule="auto"/>
              <w:jc w:val="left"/>
              <w:rPr>
                <w:rFonts w:ascii="Arial" w:eastAsia="Times New Roman" w:hAnsi="Arial"/>
                <w:b/>
                <w:color w:val="ED8B00"/>
                <w:sz w:val="16"/>
                <w:szCs w:val="16"/>
              </w:rPr>
            </w:pPr>
          </w:p>
        </w:tc>
        <w:tc>
          <w:tcPr>
            <w:tcW w:w="1470" w:type="dxa"/>
            <w:shd w:val="clear" w:color="auto" w:fill="auto"/>
            <w:tcMar>
              <w:top w:w="15" w:type="dxa"/>
              <w:left w:w="15" w:type="dxa"/>
              <w:bottom w:w="0" w:type="dxa"/>
              <w:right w:w="15" w:type="dxa"/>
            </w:tcMar>
            <w:vAlign w:val="center"/>
            <w:hideMark/>
          </w:tcPr>
          <w:p w14:paraId="256905AC"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67.00 [59.00, 71.75]</w:t>
            </w:r>
          </w:p>
        </w:tc>
        <w:tc>
          <w:tcPr>
            <w:tcW w:w="0" w:type="auto"/>
            <w:vMerge/>
            <w:vAlign w:val="center"/>
            <w:hideMark/>
          </w:tcPr>
          <w:p w14:paraId="490B6E07" w14:textId="77777777" w:rsidR="001C37E4" w:rsidRPr="001C37E4" w:rsidRDefault="001C37E4" w:rsidP="001C37E4">
            <w:pPr>
              <w:spacing w:after="0" w:line="240" w:lineRule="auto"/>
              <w:jc w:val="left"/>
              <w:rPr>
                <w:rFonts w:ascii="Arial" w:eastAsia="Times New Roman" w:hAnsi="Arial"/>
                <w:b/>
                <w:color w:val="000000"/>
                <w:sz w:val="16"/>
                <w:szCs w:val="16"/>
              </w:rPr>
            </w:pPr>
          </w:p>
        </w:tc>
      </w:tr>
      <w:tr w:rsidR="001C37E4" w:rsidRPr="001C37E4" w14:paraId="167843BF" w14:textId="77777777" w:rsidTr="00EC53DB">
        <w:trPr>
          <w:trHeight w:val="263"/>
        </w:trPr>
        <w:tc>
          <w:tcPr>
            <w:tcW w:w="0" w:type="auto"/>
            <w:vMerge/>
            <w:vAlign w:val="center"/>
            <w:hideMark/>
          </w:tcPr>
          <w:p w14:paraId="5A4D9ADA"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115" w:type="dxa"/>
            <w:shd w:val="clear" w:color="auto" w:fill="auto"/>
            <w:tcMar>
              <w:top w:w="15" w:type="dxa"/>
              <w:left w:w="15" w:type="dxa"/>
              <w:bottom w:w="0" w:type="dxa"/>
              <w:right w:w="15" w:type="dxa"/>
            </w:tcMar>
            <w:vAlign w:val="center"/>
            <w:hideMark/>
          </w:tcPr>
          <w:p w14:paraId="6E3A814C"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median [range]</w:t>
            </w:r>
          </w:p>
        </w:tc>
        <w:tc>
          <w:tcPr>
            <w:tcW w:w="1456" w:type="dxa"/>
            <w:shd w:val="clear" w:color="auto" w:fill="auto"/>
            <w:tcMar>
              <w:top w:w="15" w:type="dxa"/>
              <w:left w:w="15" w:type="dxa"/>
              <w:bottom w:w="0" w:type="dxa"/>
              <w:right w:w="15" w:type="dxa"/>
            </w:tcMar>
            <w:vAlign w:val="center"/>
            <w:hideMark/>
          </w:tcPr>
          <w:p w14:paraId="557F3439"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65.50 [24.00, 83.00]</w:t>
            </w:r>
          </w:p>
        </w:tc>
        <w:tc>
          <w:tcPr>
            <w:tcW w:w="1467" w:type="dxa"/>
            <w:shd w:val="clear" w:color="auto" w:fill="auto"/>
            <w:tcMar>
              <w:top w:w="15" w:type="dxa"/>
              <w:left w:w="15" w:type="dxa"/>
              <w:bottom w:w="0" w:type="dxa"/>
              <w:right w:w="15" w:type="dxa"/>
            </w:tcMar>
            <w:vAlign w:val="center"/>
            <w:hideMark/>
          </w:tcPr>
          <w:p w14:paraId="0C03530A"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61.50 [25.00, 83.00]</w:t>
            </w:r>
          </w:p>
        </w:tc>
        <w:tc>
          <w:tcPr>
            <w:tcW w:w="0" w:type="auto"/>
            <w:vMerge/>
            <w:vAlign w:val="center"/>
            <w:hideMark/>
          </w:tcPr>
          <w:p w14:paraId="7695626C"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470" w:type="dxa"/>
            <w:shd w:val="clear" w:color="auto" w:fill="auto"/>
            <w:tcMar>
              <w:top w:w="15" w:type="dxa"/>
              <w:left w:w="15" w:type="dxa"/>
              <w:bottom w:w="0" w:type="dxa"/>
              <w:right w:w="15" w:type="dxa"/>
            </w:tcMar>
            <w:vAlign w:val="center"/>
            <w:hideMark/>
          </w:tcPr>
          <w:p w14:paraId="5BEDC77D"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59.00 [25.00, 77.00]</w:t>
            </w:r>
          </w:p>
        </w:tc>
        <w:tc>
          <w:tcPr>
            <w:tcW w:w="0" w:type="auto"/>
            <w:vMerge/>
            <w:vAlign w:val="center"/>
            <w:hideMark/>
          </w:tcPr>
          <w:p w14:paraId="4C0AE2CC" w14:textId="77777777" w:rsidR="001C37E4" w:rsidRPr="001C37E4" w:rsidRDefault="001C37E4" w:rsidP="001C37E4">
            <w:pPr>
              <w:spacing w:after="0" w:line="240" w:lineRule="auto"/>
              <w:jc w:val="left"/>
              <w:rPr>
                <w:rFonts w:ascii="Arial" w:eastAsia="Times New Roman" w:hAnsi="Arial"/>
                <w:b/>
                <w:color w:val="ED8B00"/>
                <w:sz w:val="16"/>
                <w:szCs w:val="16"/>
              </w:rPr>
            </w:pPr>
          </w:p>
        </w:tc>
        <w:tc>
          <w:tcPr>
            <w:tcW w:w="1470" w:type="dxa"/>
            <w:shd w:val="clear" w:color="auto" w:fill="auto"/>
            <w:tcMar>
              <w:top w:w="15" w:type="dxa"/>
              <w:left w:w="15" w:type="dxa"/>
              <w:bottom w:w="0" w:type="dxa"/>
              <w:right w:w="15" w:type="dxa"/>
            </w:tcMar>
            <w:vAlign w:val="center"/>
            <w:hideMark/>
          </w:tcPr>
          <w:p w14:paraId="58AB8486"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67.00 [35.00, 83.00]</w:t>
            </w:r>
          </w:p>
        </w:tc>
        <w:tc>
          <w:tcPr>
            <w:tcW w:w="0" w:type="auto"/>
            <w:vMerge/>
            <w:vAlign w:val="center"/>
            <w:hideMark/>
          </w:tcPr>
          <w:p w14:paraId="4707EF68" w14:textId="77777777" w:rsidR="001C37E4" w:rsidRPr="001C37E4" w:rsidRDefault="001C37E4" w:rsidP="001C37E4">
            <w:pPr>
              <w:spacing w:after="0" w:line="240" w:lineRule="auto"/>
              <w:jc w:val="left"/>
              <w:rPr>
                <w:rFonts w:ascii="Arial" w:eastAsia="Times New Roman" w:hAnsi="Arial"/>
                <w:b/>
                <w:color w:val="000000"/>
                <w:sz w:val="16"/>
                <w:szCs w:val="16"/>
              </w:rPr>
            </w:pPr>
          </w:p>
        </w:tc>
      </w:tr>
      <w:tr w:rsidR="001C37E4" w:rsidRPr="001C37E4" w14:paraId="3EA381E3" w14:textId="77777777" w:rsidTr="00EC53DB">
        <w:trPr>
          <w:trHeight w:val="263"/>
        </w:trPr>
        <w:tc>
          <w:tcPr>
            <w:tcW w:w="1224" w:type="dxa"/>
            <w:vMerge w:val="restart"/>
            <w:shd w:val="clear" w:color="auto" w:fill="auto"/>
            <w:tcMar>
              <w:top w:w="15" w:type="dxa"/>
              <w:left w:w="15" w:type="dxa"/>
              <w:bottom w:w="0" w:type="dxa"/>
              <w:right w:w="15" w:type="dxa"/>
            </w:tcMar>
            <w:vAlign w:val="center"/>
            <w:hideMark/>
          </w:tcPr>
          <w:p w14:paraId="1ECBBD7F"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Left ventricle ejection fraction, %</w:t>
            </w:r>
          </w:p>
        </w:tc>
        <w:tc>
          <w:tcPr>
            <w:tcW w:w="1115" w:type="dxa"/>
            <w:shd w:val="clear" w:color="auto" w:fill="auto"/>
            <w:tcMar>
              <w:top w:w="15" w:type="dxa"/>
              <w:left w:w="15" w:type="dxa"/>
              <w:bottom w:w="0" w:type="dxa"/>
              <w:right w:w="15" w:type="dxa"/>
            </w:tcMar>
            <w:vAlign w:val="center"/>
            <w:hideMark/>
          </w:tcPr>
          <w:p w14:paraId="09317314"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mean (SD)</w:t>
            </w:r>
          </w:p>
        </w:tc>
        <w:tc>
          <w:tcPr>
            <w:tcW w:w="1456" w:type="dxa"/>
            <w:shd w:val="clear" w:color="auto" w:fill="auto"/>
            <w:tcMar>
              <w:top w:w="15" w:type="dxa"/>
              <w:left w:w="15" w:type="dxa"/>
              <w:bottom w:w="0" w:type="dxa"/>
              <w:right w:w="15" w:type="dxa"/>
            </w:tcMar>
            <w:vAlign w:val="center"/>
            <w:hideMark/>
          </w:tcPr>
          <w:p w14:paraId="491873BF"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59.69 (7.00)</w:t>
            </w:r>
          </w:p>
        </w:tc>
        <w:tc>
          <w:tcPr>
            <w:tcW w:w="1467" w:type="dxa"/>
            <w:shd w:val="clear" w:color="auto" w:fill="auto"/>
            <w:tcMar>
              <w:top w:w="15" w:type="dxa"/>
              <w:left w:w="15" w:type="dxa"/>
              <w:bottom w:w="0" w:type="dxa"/>
              <w:right w:w="15" w:type="dxa"/>
            </w:tcMar>
            <w:vAlign w:val="center"/>
            <w:hideMark/>
          </w:tcPr>
          <w:p w14:paraId="4A1D4A0B"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59.76 (7.39)</w:t>
            </w:r>
          </w:p>
        </w:tc>
        <w:tc>
          <w:tcPr>
            <w:tcW w:w="688" w:type="dxa"/>
            <w:vMerge w:val="restart"/>
            <w:shd w:val="clear" w:color="auto" w:fill="auto"/>
            <w:tcMar>
              <w:top w:w="15" w:type="dxa"/>
              <w:left w:w="15" w:type="dxa"/>
              <w:bottom w:w="0" w:type="dxa"/>
              <w:right w:w="15" w:type="dxa"/>
            </w:tcMar>
            <w:vAlign w:val="center"/>
            <w:hideMark/>
          </w:tcPr>
          <w:p w14:paraId="60AE51CC"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0.009</w:t>
            </w:r>
          </w:p>
        </w:tc>
        <w:tc>
          <w:tcPr>
            <w:tcW w:w="1470" w:type="dxa"/>
            <w:shd w:val="clear" w:color="auto" w:fill="auto"/>
            <w:tcMar>
              <w:top w:w="15" w:type="dxa"/>
              <w:left w:w="15" w:type="dxa"/>
              <w:bottom w:w="0" w:type="dxa"/>
              <w:right w:w="15" w:type="dxa"/>
            </w:tcMar>
            <w:vAlign w:val="center"/>
            <w:hideMark/>
          </w:tcPr>
          <w:p w14:paraId="1A84FC18"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60.26 (7.96)</w:t>
            </w:r>
          </w:p>
        </w:tc>
        <w:tc>
          <w:tcPr>
            <w:tcW w:w="695" w:type="dxa"/>
            <w:vMerge w:val="restart"/>
            <w:shd w:val="clear" w:color="auto" w:fill="auto"/>
            <w:tcMar>
              <w:top w:w="15" w:type="dxa"/>
              <w:left w:w="15" w:type="dxa"/>
              <w:bottom w:w="0" w:type="dxa"/>
              <w:right w:w="15" w:type="dxa"/>
            </w:tcMar>
            <w:vAlign w:val="center"/>
            <w:hideMark/>
          </w:tcPr>
          <w:p w14:paraId="7AC7D74B"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00B050"/>
                <w:sz w:val="16"/>
                <w:szCs w:val="16"/>
              </w:rPr>
              <w:t>0.076</w:t>
            </w:r>
          </w:p>
        </w:tc>
        <w:tc>
          <w:tcPr>
            <w:tcW w:w="1470" w:type="dxa"/>
            <w:shd w:val="clear" w:color="auto" w:fill="auto"/>
            <w:tcMar>
              <w:top w:w="15" w:type="dxa"/>
              <w:left w:w="15" w:type="dxa"/>
              <w:bottom w:w="0" w:type="dxa"/>
              <w:right w:w="15" w:type="dxa"/>
            </w:tcMar>
            <w:vAlign w:val="center"/>
            <w:hideMark/>
          </w:tcPr>
          <w:p w14:paraId="5F9B4963"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59.00 (6.43)</w:t>
            </w:r>
          </w:p>
        </w:tc>
        <w:tc>
          <w:tcPr>
            <w:tcW w:w="695" w:type="dxa"/>
            <w:vMerge w:val="restart"/>
            <w:shd w:val="clear" w:color="auto" w:fill="auto"/>
            <w:tcMar>
              <w:top w:w="15" w:type="dxa"/>
              <w:left w:w="15" w:type="dxa"/>
              <w:bottom w:w="0" w:type="dxa"/>
              <w:right w:w="15" w:type="dxa"/>
            </w:tcMar>
            <w:vAlign w:val="center"/>
            <w:hideMark/>
          </w:tcPr>
          <w:p w14:paraId="635B3F97"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ED8B00"/>
                <w:sz w:val="16"/>
                <w:szCs w:val="16"/>
              </w:rPr>
              <w:t>0.103</w:t>
            </w:r>
          </w:p>
        </w:tc>
      </w:tr>
      <w:tr w:rsidR="001C37E4" w:rsidRPr="001C37E4" w14:paraId="05F222A1" w14:textId="77777777" w:rsidTr="00EC53DB">
        <w:trPr>
          <w:trHeight w:val="263"/>
        </w:trPr>
        <w:tc>
          <w:tcPr>
            <w:tcW w:w="0" w:type="auto"/>
            <w:vMerge/>
            <w:vAlign w:val="center"/>
            <w:hideMark/>
          </w:tcPr>
          <w:p w14:paraId="21BAA8E0"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115" w:type="dxa"/>
            <w:shd w:val="clear" w:color="auto" w:fill="auto"/>
            <w:tcMar>
              <w:top w:w="15" w:type="dxa"/>
              <w:left w:w="15" w:type="dxa"/>
              <w:bottom w:w="0" w:type="dxa"/>
              <w:right w:w="15" w:type="dxa"/>
            </w:tcMar>
            <w:vAlign w:val="center"/>
            <w:hideMark/>
          </w:tcPr>
          <w:p w14:paraId="10ED50D3"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median [IQR]</w:t>
            </w:r>
          </w:p>
        </w:tc>
        <w:tc>
          <w:tcPr>
            <w:tcW w:w="1456" w:type="dxa"/>
            <w:shd w:val="clear" w:color="auto" w:fill="auto"/>
            <w:tcMar>
              <w:top w:w="15" w:type="dxa"/>
              <w:left w:w="15" w:type="dxa"/>
              <w:bottom w:w="0" w:type="dxa"/>
              <w:right w:w="15" w:type="dxa"/>
            </w:tcMar>
            <w:vAlign w:val="center"/>
            <w:hideMark/>
          </w:tcPr>
          <w:p w14:paraId="7B427202"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60.00 [55.00, 65.00]</w:t>
            </w:r>
          </w:p>
        </w:tc>
        <w:tc>
          <w:tcPr>
            <w:tcW w:w="1467" w:type="dxa"/>
            <w:shd w:val="clear" w:color="auto" w:fill="auto"/>
            <w:tcMar>
              <w:top w:w="15" w:type="dxa"/>
              <w:left w:w="15" w:type="dxa"/>
              <w:bottom w:w="0" w:type="dxa"/>
              <w:right w:w="15" w:type="dxa"/>
            </w:tcMar>
            <w:vAlign w:val="center"/>
            <w:hideMark/>
          </w:tcPr>
          <w:p w14:paraId="3F1CC23E"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60.00 [55.00, 65.00]</w:t>
            </w:r>
          </w:p>
        </w:tc>
        <w:tc>
          <w:tcPr>
            <w:tcW w:w="0" w:type="auto"/>
            <w:vMerge/>
            <w:vAlign w:val="center"/>
            <w:hideMark/>
          </w:tcPr>
          <w:p w14:paraId="4D54A6C1"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0" w:type="dxa"/>
            <w:shd w:val="clear" w:color="auto" w:fill="auto"/>
            <w:tcMar>
              <w:top w:w="15" w:type="dxa"/>
              <w:left w:w="15" w:type="dxa"/>
              <w:bottom w:w="0" w:type="dxa"/>
              <w:right w:w="15" w:type="dxa"/>
            </w:tcMar>
            <w:vAlign w:val="center"/>
            <w:hideMark/>
          </w:tcPr>
          <w:p w14:paraId="438E18F9"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60.00 [55.00, 65.00]</w:t>
            </w:r>
          </w:p>
        </w:tc>
        <w:tc>
          <w:tcPr>
            <w:tcW w:w="0" w:type="auto"/>
            <w:vMerge/>
            <w:vAlign w:val="center"/>
            <w:hideMark/>
          </w:tcPr>
          <w:p w14:paraId="3D60E0A6"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470" w:type="dxa"/>
            <w:shd w:val="clear" w:color="auto" w:fill="auto"/>
            <w:tcMar>
              <w:top w:w="15" w:type="dxa"/>
              <w:left w:w="15" w:type="dxa"/>
              <w:bottom w:w="0" w:type="dxa"/>
              <w:right w:w="15" w:type="dxa"/>
            </w:tcMar>
            <w:vAlign w:val="center"/>
            <w:hideMark/>
          </w:tcPr>
          <w:p w14:paraId="48971220"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60.00 [55.00, 63.00]</w:t>
            </w:r>
          </w:p>
        </w:tc>
        <w:tc>
          <w:tcPr>
            <w:tcW w:w="0" w:type="auto"/>
            <w:vMerge/>
            <w:vAlign w:val="center"/>
            <w:hideMark/>
          </w:tcPr>
          <w:p w14:paraId="669F3CF3" w14:textId="77777777" w:rsidR="001C37E4" w:rsidRPr="001C37E4" w:rsidRDefault="001C37E4" w:rsidP="001C37E4">
            <w:pPr>
              <w:spacing w:after="0" w:line="240" w:lineRule="auto"/>
              <w:jc w:val="left"/>
              <w:rPr>
                <w:rFonts w:ascii="Arial" w:eastAsia="Times New Roman" w:hAnsi="Arial"/>
                <w:b/>
                <w:color w:val="00B050"/>
                <w:sz w:val="16"/>
                <w:szCs w:val="16"/>
              </w:rPr>
            </w:pPr>
          </w:p>
        </w:tc>
      </w:tr>
      <w:tr w:rsidR="001C37E4" w:rsidRPr="001C37E4" w14:paraId="67A6315C" w14:textId="77777777" w:rsidTr="00EC53DB">
        <w:trPr>
          <w:trHeight w:val="263"/>
        </w:trPr>
        <w:tc>
          <w:tcPr>
            <w:tcW w:w="0" w:type="auto"/>
            <w:vMerge/>
            <w:vAlign w:val="center"/>
            <w:hideMark/>
          </w:tcPr>
          <w:p w14:paraId="352720A1"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115" w:type="dxa"/>
            <w:shd w:val="clear" w:color="auto" w:fill="auto"/>
            <w:tcMar>
              <w:top w:w="15" w:type="dxa"/>
              <w:left w:w="15" w:type="dxa"/>
              <w:bottom w:w="0" w:type="dxa"/>
              <w:right w:w="15" w:type="dxa"/>
            </w:tcMar>
            <w:vAlign w:val="center"/>
            <w:hideMark/>
          </w:tcPr>
          <w:p w14:paraId="391B856C"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median [range]</w:t>
            </w:r>
          </w:p>
        </w:tc>
        <w:tc>
          <w:tcPr>
            <w:tcW w:w="1456" w:type="dxa"/>
            <w:shd w:val="clear" w:color="auto" w:fill="auto"/>
            <w:tcMar>
              <w:top w:w="15" w:type="dxa"/>
              <w:left w:w="15" w:type="dxa"/>
              <w:bottom w:w="0" w:type="dxa"/>
              <w:right w:w="15" w:type="dxa"/>
            </w:tcMar>
            <w:vAlign w:val="center"/>
            <w:hideMark/>
          </w:tcPr>
          <w:p w14:paraId="6FDA5E44"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60.00 [40.00, 75.00]</w:t>
            </w:r>
          </w:p>
        </w:tc>
        <w:tc>
          <w:tcPr>
            <w:tcW w:w="1467" w:type="dxa"/>
            <w:shd w:val="clear" w:color="auto" w:fill="auto"/>
            <w:tcMar>
              <w:top w:w="15" w:type="dxa"/>
              <w:left w:w="15" w:type="dxa"/>
              <w:bottom w:w="0" w:type="dxa"/>
              <w:right w:w="15" w:type="dxa"/>
            </w:tcMar>
            <w:vAlign w:val="center"/>
            <w:hideMark/>
          </w:tcPr>
          <w:p w14:paraId="275F5555"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60.00 [40.00, 84.00]</w:t>
            </w:r>
          </w:p>
        </w:tc>
        <w:tc>
          <w:tcPr>
            <w:tcW w:w="0" w:type="auto"/>
            <w:vMerge/>
            <w:vAlign w:val="center"/>
            <w:hideMark/>
          </w:tcPr>
          <w:p w14:paraId="0F5976D2"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0" w:type="dxa"/>
            <w:shd w:val="clear" w:color="auto" w:fill="auto"/>
            <w:tcMar>
              <w:top w:w="15" w:type="dxa"/>
              <w:left w:w="15" w:type="dxa"/>
              <w:bottom w:w="0" w:type="dxa"/>
              <w:right w:w="15" w:type="dxa"/>
            </w:tcMar>
            <w:vAlign w:val="center"/>
            <w:hideMark/>
          </w:tcPr>
          <w:p w14:paraId="76302111"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60.00 [40.00, 84.00]</w:t>
            </w:r>
          </w:p>
        </w:tc>
        <w:tc>
          <w:tcPr>
            <w:tcW w:w="0" w:type="auto"/>
            <w:vMerge/>
            <w:vAlign w:val="center"/>
            <w:hideMark/>
          </w:tcPr>
          <w:p w14:paraId="2F716DA8"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470" w:type="dxa"/>
            <w:shd w:val="clear" w:color="auto" w:fill="auto"/>
            <w:tcMar>
              <w:top w:w="15" w:type="dxa"/>
              <w:left w:w="15" w:type="dxa"/>
              <w:bottom w:w="0" w:type="dxa"/>
              <w:right w:w="15" w:type="dxa"/>
            </w:tcMar>
            <w:vAlign w:val="center"/>
            <w:hideMark/>
          </w:tcPr>
          <w:p w14:paraId="2D888FD6"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60.00 [40.00, 78.00]</w:t>
            </w:r>
          </w:p>
        </w:tc>
        <w:tc>
          <w:tcPr>
            <w:tcW w:w="0" w:type="auto"/>
            <w:vMerge/>
            <w:vAlign w:val="center"/>
            <w:hideMark/>
          </w:tcPr>
          <w:p w14:paraId="6B02DB5B" w14:textId="77777777" w:rsidR="001C37E4" w:rsidRPr="001C37E4" w:rsidRDefault="001C37E4" w:rsidP="001C37E4">
            <w:pPr>
              <w:spacing w:after="0" w:line="240" w:lineRule="auto"/>
              <w:jc w:val="left"/>
              <w:rPr>
                <w:rFonts w:ascii="Arial" w:eastAsia="Times New Roman" w:hAnsi="Arial"/>
                <w:b/>
                <w:color w:val="00B050"/>
                <w:sz w:val="16"/>
                <w:szCs w:val="16"/>
              </w:rPr>
            </w:pPr>
          </w:p>
        </w:tc>
      </w:tr>
      <w:tr w:rsidR="001C37E4" w:rsidRPr="001C37E4" w14:paraId="3C9EB815" w14:textId="77777777" w:rsidTr="00EC53DB">
        <w:trPr>
          <w:trHeight w:val="263"/>
        </w:trPr>
        <w:tc>
          <w:tcPr>
            <w:tcW w:w="1224" w:type="dxa"/>
            <w:vMerge w:val="restart"/>
            <w:shd w:val="clear" w:color="auto" w:fill="auto"/>
            <w:tcMar>
              <w:top w:w="15" w:type="dxa"/>
              <w:left w:w="15" w:type="dxa"/>
              <w:bottom w:w="0" w:type="dxa"/>
              <w:right w:w="15" w:type="dxa"/>
            </w:tcMar>
            <w:vAlign w:val="center"/>
            <w:hideMark/>
          </w:tcPr>
          <w:p w14:paraId="6DC087A3"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LA Diameter</w:t>
            </w:r>
          </w:p>
        </w:tc>
        <w:tc>
          <w:tcPr>
            <w:tcW w:w="1115" w:type="dxa"/>
            <w:shd w:val="clear" w:color="auto" w:fill="auto"/>
            <w:tcMar>
              <w:top w:w="15" w:type="dxa"/>
              <w:left w:w="15" w:type="dxa"/>
              <w:bottom w:w="0" w:type="dxa"/>
              <w:right w:w="15" w:type="dxa"/>
            </w:tcMar>
            <w:vAlign w:val="center"/>
            <w:hideMark/>
          </w:tcPr>
          <w:p w14:paraId="0E2063AA"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mean (SD)</w:t>
            </w:r>
          </w:p>
        </w:tc>
        <w:tc>
          <w:tcPr>
            <w:tcW w:w="1456" w:type="dxa"/>
            <w:shd w:val="clear" w:color="auto" w:fill="auto"/>
            <w:tcMar>
              <w:top w:w="15" w:type="dxa"/>
              <w:left w:w="15" w:type="dxa"/>
              <w:bottom w:w="0" w:type="dxa"/>
              <w:right w:w="15" w:type="dxa"/>
            </w:tcMar>
            <w:vAlign w:val="center"/>
            <w:hideMark/>
          </w:tcPr>
          <w:p w14:paraId="0B9C3685"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38.19 (5.93)</w:t>
            </w:r>
          </w:p>
        </w:tc>
        <w:tc>
          <w:tcPr>
            <w:tcW w:w="1467" w:type="dxa"/>
            <w:shd w:val="clear" w:color="auto" w:fill="auto"/>
            <w:tcMar>
              <w:top w:w="15" w:type="dxa"/>
              <w:left w:w="15" w:type="dxa"/>
              <w:bottom w:w="0" w:type="dxa"/>
              <w:right w:w="15" w:type="dxa"/>
            </w:tcMar>
            <w:vAlign w:val="center"/>
            <w:hideMark/>
          </w:tcPr>
          <w:p w14:paraId="02E443EB"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38.40 (5.84)</w:t>
            </w:r>
          </w:p>
        </w:tc>
        <w:tc>
          <w:tcPr>
            <w:tcW w:w="688" w:type="dxa"/>
            <w:vMerge w:val="restart"/>
            <w:shd w:val="clear" w:color="auto" w:fill="auto"/>
            <w:tcMar>
              <w:top w:w="15" w:type="dxa"/>
              <w:left w:w="15" w:type="dxa"/>
              <w:bottom w:w="0" w:type="dxa"/>
              <w:right w:w="15" w:type="dxa"/>
            </w:tcMar>
            <w:vAlign w:val="center"/>
            <w:hideMark/>
          </w:tcPr>
          <w:p w14:paraId="0A0E394F"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0.037</w:t>
            </w:r>
          </w:p>
        </w:tc>
        <w:tc>
          <w:tcPr>
            <w:tcW w:w="1470" w:type="dxa"/>
            <w:shd w:val="clear" w:color="auto" w:fill="auto"/>
            <w:tcMar>
              <w:top w:w="15" w:type="dxa"/>
              <w:left w:w="15" w:type="dxa"/>
              <w:bottom w:w="0" w:type="dxa"/>
              <w:right w:w="15" w:type="dxa"/>
            </w:tcMar>
            <w:vAlign w:val="center"/>
            <w:hideMark/>
          </w:tcPr>
          <w:p w14:paraId="5EB9423F"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38.39 (5.61)</w:t>
            </w:r>
          </w:p>
        </w:tc>
        <w:tc>
          <w:tcPr>
            <w:tcW w:w="695" w:type="dxa"/>
            <w:vMerge w:val="restart"/>
            <w:shd w:val="clear" w:color="auto" w:fill="auto"/>
            <w:tcMar>
              <w:top w:w="15" w:type="dxa"/>
              <w:left w:w="15" w:type="dxa"/>
              <w:bottom w:w="0" w:type="dxa"/>
              <w:right w:w="15" w:type="dxa"/>
            </w:tcMar>
            <w:vAlign w:val="center"/>
            <w:hideMark/>
          </w:tcPr>
          <w:p w14:paraId="042F64B7"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0.035</w:t>
            </w:r>
          </w:p>
        </w:tc>
        <w:tc>
          <w:tcPr>
            <w:tcW w:w="1470" w:type="dxa"/>
            <w:shd w:val="clear" w:color="auto" w:fill="auto"/>
            <w:tcMar>
              <w:top w:w="15" w:type="dxa"/>
              <w:left w:w="15" w:type="dxa"/>
              <w:bottom w:w="0" w:type="dxa"/>
              <w:right w:w="15" w:type="dxa"/>
            </w:tcMar>
            <w:vAlign w:val="center"/>
            <w:hideMark/>
          </w:tcPr>
          <w:p w14:paraId="29377203"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38.42 (6.18)</w:t>
            </w:r>
          </w:p>
        </w:tc>
        <w:tc>
          <w:tcPr>
            <w:tcW w:w="695" w:type="dxa"/>
            <w:vMerge w:val="restart"/>
            <w:shd w:val="clear" w:color="auto" w:fill="auto"/>
            <w:tcMar>
              <w:top w:w="15" w:type="dxa"/>
              <w:left w:w="15" w:type="dxa"/>
              <w:bottom w:w="0" w:type="dxa"/>
              <w:right w:w="15" w:type="dxa"/>
            </w:tcMar>
            <w:vAlign w:val="center"/>
            <w:hideMark/>
          </w:tcPr>
          <w:p w14:paraId="4F1D930A"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0.039</w:t>
            </w:r>
          </w:p>
        </w:tc>
      </w:tr>
      <w:tr w:rsidR="001C37E4" w:rsidRPr="001C37E4" w14:paraId="0E2076FC" w14:textId="77777777" w:rsidTr="00EC53DB">
        <w:trPr>
          <w:trHeight w:val="263"/>
        </w:trPr>
        <w:tc>
          <w:tcPr>
            <w:tcW w:w="0" w:type="auto"/>
            <w:vMerge/>
            <w:vAlign w:val="center"/>
            <w:hideMark/>
          </w:tcPr>
          <w:p w14:paraId="3008C21D"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115" w:type="dxa"/>
            <w:shd w:val="clear" w:color="auto" w:fill="auto"/>
            <w:tcMar>
              <w:top w:w="15" w:type="dxa"/>
              <w:left w:w="15" w:type="dxa"/>
              <w:bottom w:w="0" w:type="dxa"/>
              <w:right w:w="15" w:type="dxa"/>
            </w:tcMar>
            <w:vAlign w:val="center"/>
            <w:hideMark/>
          </w:tcPr>
          <w:p w14:paraId="5B0BAD1F"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median [IQR]</w:t>
            </w:r>
          </w:p>
        </w:tc>
        <w:tc>
          <w:tcPr>
            <w:tcW w:w="1456" w:type="dxa"/>
            <w:shd w:val="clear" w:color="auto" w:fill="auto"/>
            <w:tcMar>
              <w:top w:w="15" w:type="dxa"/>
              <w:left w:w="15" w:type="dxa"/>
              <w:bottom w:w="0" w:type="dxa"/>
              <w:right w:w="15" w:type="dxa"/>
            </w:tcMar>
            <w:vAlign w:val="center"/>
            <w:hideMark/>
          </w:tcPr>
          <w:p w14:paraId="69FD6F40"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38.00 [34.00, 42.00]</w:t>
            </w:r>
          </w:p>
        </w:tc>
        <w:tc>
          <w:tcPr>
            <w:tcW w:w="1467" w:type="dxa"/>
            <w:shd w:val="clear" w:color="auto" w:fill="auto"/>
            <w:tcMar>
              <w:top w:w="15" w:type="dxa"/>
              <w:left w:w="15" w:type="dxa"/>
              <w:bottom w:w="0" w:type="dxa"/>
              <w:right w:w="15" w:type="dxa"/>
            </w:tcMar>
            <w:vAlign w:val="center"/>
            <w:hideMark/>
          </w:tcPr>
          <w:p w14:paraId="3AA1E728"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38.00 [34.00, 43.00]</w:t>
            </w:r>
          </w:p>
        </w:tc>
        <w:tc>
          <w:tcPr>
            <w:tcW w:w="0" w:type="auto"/>
            <w:vMerge/>
            <w:vAlign w:val="center"/>
            <w:hideMark/>
          </w:tcPr>
          <w:p w14:paraId="702DBB80"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0" w:type="dxa"/>
            <w:shd w:val="clear" w:color="auto" w:fill="auto"/>
            <w:tcMar>
              <w:top w:w="15" w:type="dxa"/>
              <w:left w:w="15" w:type="dxa"/>
              <w:bottom w:w="0" w:type="dxa"/>
              <w:right w:w="15" w:type="dxa"/>
            </w:tcMar>
            <w:vAlign w:val="center"/>
            <w:hideMark/>
          </w:tcPr>
          <w:p w14:paraId="257F12C4"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38.00 [34.75, 43.00]</w:t>
            </w:r>
          </w:p>
        </w:tc>
        <w:tc>
          <w:tcPr>
            <w:tcW w:w="0" w:type="auto"/>
            <w:vMerge/>
            <w:vAlign w:val="center"/>
            <w:hideMark/>
          </w:tcPr>
          <w:p w14:paraId="16FFA706"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470" w:type="dxa"/>
            <w:shd w:val="clear" w:color="auto" w:fill="auto"/>
            <w:tcMar>
              <w:top w:w="15" w:type="dxa"/>
              <w:left w:w="15" w:type="dxa"/>
              <w:bottom w:w="0" w:type="dxa"/>
              <w:right w:w="15" w:type="dxa"/>
            </w:tcMar>
            <w:vAlign w:val="center"/>
            <w:hideMark/>
          </w:tcPr>
          <w:p w14:paraId="68B73F09"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39.00 [34.00, 43.00]</w:t>
            </w:r>
          </w:p>
        </w:tc>
        <w:tc>
          <w:tcPr>
            <w:tcW w:w="0" w:type="auto"/>
            <w:vMerge/>
            <w:vAlign w:val="center"/>
            <w:hideMark/>
          </w:tcPr>
          <w:p w14:paraId="58FA1C67" w14:textId="77777777" w:rsidR="001C37E4" w:rsidRPr="001C37E4" w:rsidRDefault="001C37E4" w:rsidP="001C37E4">
            <w:pPr>
              <w:spacing w:after="0" w:line="240" w:lineRule="auto"/>
              <w:jc w:val="left"/>
              <w:rPr>
                <w:rFonts w:ascii="Arial" w:eastAsia="Times New Roman" w:hAnsi="Arial"/>
                <w:b/>
                <w:color w:val="000000"/>
                <w:sz w:val="16"/>
                <w:szCs w:val="16"/>
              </w:rPr>
            </w:pPr>
          </w:p>
        </w:tc>
      </w:tr>
      <w:tr w:rsidR="001C37E4" w:rsidRPr="001C37E4" w14:paraId="198001FC" w14:textId="77777777" w:rsidTr="00EC53DB">
        <w:trPr>
          <w:trHeight w:val="263"/>
        </w:trPr>
        <w:tc>
          <w:tcPr>
            <w:tcW w:w="0" w:type="auto"/>
            <w:vMerge/>
            <w:vAlign w:val="center"/>
            <w:hideMark/>
          </w:tcPr>
          <w:p w14:paraId="0E8153AD"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115" w:type="dxa"/>
            <w:shd w:val="clear" w:color="auto" w:fill="auto"/>
            <w:tcMar>
              <w:top w:w="15" w:type="dxa"/>
              <w:left w:w="15" w:type="dxa"/>
              <w:bottom w:w="0" w:type="dxa"/>
              <w:right w:w="15" w:type="dxa"/>
            </w:tcMar>
            <w:vAlign w:val="center"/>
            <w:hideMark/>
          </w:tcPr>
          <w:p w14:paraId="1273DB2F"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median [range]</w:t>
            </w:r>
          </w:p>
        </w:tc>
        <w:tc>
          <w:tcPr>
            <w:tcW w:w="1456" w:type="dxa"/>
            <w:shd w:val="clear" w:color="auto" w:fill="auto"/>
            <w:tcMar>
              <w:top w:w="15" w:type="dxa"/>
              <w:left w:w="15" w:type="dxa"/>
              <w:bottom w:w="0" w:type="dxa"/>
              <w:right w:w="15" w:type="dxa"/>
            </w:tcMar>
            <w:vAlign w:val="center"/>
            <w:hideMark/>
          </w:tcPr>
          <w:p w14:paraId="01AC4A8F"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38.00 [20.00, 50.00]</w:t>
            </w:r>
          </w:p>
        </w:tc>
        <w:tc>
          <w:tcPr>
            <w:tcW w:w="1467" w:type="dxa"/>
            <w:shd w:val="clear" w:color="auto" w:fill="auto"/>
            <w:tcMar>
              <w:top w:w="15" w:type="dxa"/>
              <w:left w:w="15" w:type="dxa"/>
              <w:bottom w:w="0" w:type="dxa"/>
              <w:right w:w="15" w:type="dxa"/>
            </w:tcMar>
            <w:vAlign w:val="center"/>
            <w:hideMark/>
          </w:tcPr>
          <w:p w14:paraId="49B4F111"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38.00 [22.00, 50.00]</w:t>
            </w:r>
          </w:p>
        </w:tc>
        <w:tc>
          <w:tcPr>
            <w:tcW w:w="0" w:type="auto"/>
            <w:vMerge/>
            <w:vAlign w:val="center"/>
            <w:hideMark/>
          </w:tcPr>
          <w:p w14:paraId="3D90FDF5" w14:textId="77777777" w:rsidR="001C37E4" w:rsidRPr="001C37E4" w:rsidRDefault="001C37E4" w:rsidP="001C37E4">
            <w:pPr>
              <w:spacing w:after="0" w:line="240" w:lineRule="auto"/>
              <w:jc w:val="left"/>
              <w:rPr>
                <w:rFonts w:ascii="Arial" w:eastAsia="Times New Roman" w:hAnsi="Arial"/>
                <w:b/>
                <w:color w:val="00B050"/>
                <w:sz w:val="16"/>
                <w:szCs w:val="16"/>
              </w:rPr>
            </w:pPr>
          </w:p>
        </w:tc>
        <w:tc>
          <w:tcPr>
            <w:tcW w:w="1470" w:type="dxa"/>
            <w:shd w:val="clear" w:color="auto" w:fill="auto"/>
            <w:tcMar>
              <w:top w:w="15" w:type="dxa"/>
              <w:left w:w="15" w:type="dxa"/>
              <w:bottom w:w="0" w:type="dxa"/>
              <w:right w:w="15" w:type="dxa"/>
            </w:tcMar>
            <w:vAlign w:val="center"/>
            <w:hideMark/>
          </w:tcPr>
          <w:p w14:paraId="7E6B763E"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38.00 [26.00, 50.00]</w:t>
            </w:r>
          </w:p>
        </w:tc>
        <w:tc>
          <w:tcPr>
            <w:tcW w:w="0" w:type="auto"/>
            <w:vMerge/>
            <w:vAlign w:val="center"/>
            <w:hideMark/>
          </w:tcPr>
          <w:p w14:paraId="7BA42B58" w14:textId="77777777" w:rsidR="001C37E4" w:rsidRPr="001C37E4" w:rsidRDefault="001C37E4" w:rsidP="001C37E4">
            <w:pPr>
              <w:spacing w:after="0" w:line="240" w:lineRule="auto"/>
              <w:jc w:val="left"/>
              <w:rPr>
                <w:rFonts w:ascii="Arial" w:eastAsia="Times New Roman" w:hAnsi="Arial"/>
                <w:b/>
                <w:color w:val="000000"/>
                <w:sz w:val="16"/>
                <w:szCs w:val="16"/>
              </w:rPr>
            </w:pPr>
          </w:p>
        </w:tc>
        <w:tc>
          <w:tcPr>
            <w:tcW w:w="1470" w:type="dxa"/>
            <w:shd w:val="clear" w:color="auto" w:fill="auto"/>
            <w:tcMar>
              <w:top w:w="15" w:type="dxa"/>
              <w:left w:w="15" w:type="dxa"/>
              <w:bottom w:w="0" w:type="dxa"/>
              <w:right w:w="15" w:type="dxa"/>
            </w:tcMar>
            <w:vAlign w:val="center"/>
            <w:hideMark/>
          </w:tcPr>
          <w:p w14:paraId="641FD4DD"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39.00 [22.00, 50.00]</w:t>
            </w:r>
          </w:p>
        </w:tc>
        <w:tc>
          <w:tcPr>
            <w:tcW w:w="0" w:type="auto"/>
            <w:vMerge/>
            <w:vAlign w:val="center"/>
            <w:hideMark/>
          </w:tcPr>
          <w:p w14:paraId="343612E7" w14:textId="77777777" w:rsidR="001C37E4" w:rsidRPr="001C37E4" w:rsidRDefault="001C37E4" w:rsidP="001C37E4">
            <w:pPr>
              <w:spacing w:after="0" w:line="240" w:lineRule="auto"/>
              <w:jc w:val="left"/>
              <w:rPr>
                <w:rFonts w:ascii="Arial" w:eastAsia="Times New Roman" w:hAnsi="Arial"/>
                <w:b/>
                <w:color w:val="000000"/>
                <w:sz w:val="16"/>
                <w:szCs w:val="16"/>
              </w:rPr>
            </w:pPr>
          </w:p>
        </w:tc>
      </w:tr>
      <w:tr w:rsidR="001C37E4" w:rsidRPr="001C37E4" w14:paraId="1365BA3E" w14:textId="77777777" w:rsidTr="00EC53DB">
        <w:trPr>
          <w:trHeight w:val="263"/>
        </w:trPr>
        <w:tc>
          <w:tcPr>
            <w:tcW w:w="1224" w:type="dxa"/>
            <w:vMerge w:val="restart"/>
            <w:shd w:val="clear" w:color="auto" w:fill="auto"/>
            <w:tcMar>
              <w:top w:w="15" w:type="dxa"/>
              <w:left w:w="15" w:type="dxa"/>
              <w:bottom w:w="0" w:type="dxa"/>
              <w:right w:w="15" w:type="dxa"/>
            </w:tcMar>
            <w:vAlign w:val="center"/>
            <w:hideMark/>
          </w:tcPr>
          <w:p w14:paraId="5ED8E0C2"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Duration of symptomatic AF in months</w:t>
            </w:r>
          </w:p>
        </w:tc>
        <w:tc>
          <w:tcPr>
            <w:tcW w:w="1115" w:type="dxa"/>
            <w:shd w:val="clear" w:color="auto" w:fill="auto"/>
            <w:tcMar>
              <w:top w:w="15" w:type="dxa"/>
              <w:left w:w="15" w:type="dxa"/>
              <w:bottom w:w="0" w:type="dxa"/>
              <w:right w:w="15" w:type="dxa"/>
            </w:tcMar>
            <w:vAlign w:val="center"/>
            <w:hideMark/>
          </w:tcPr>
          <w:p w14:paraId="413365DE"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mean (SD)</w:t>
            </w:r>
          </w:p>
        </w:tc>
        <w:tc>
          <w:tcPr>
            <w:tcW w:w="1456" w:type="dxa"/>
            <w:shd w:val="clear" w:color="auto" w:fill="auto"/>
            <w:tcMar>
              <w:top w:w="15" w:type="dxa"/>
              <w:left w:w="15" w:type="dxa"/>
              <w:bottom w:w="0" w:type="dxa"/>
              <w:right w:w="15" w:type="dxa"/>
            </w:tcMar>
            <w:vAlign w:val="center"/>
            <w:hideMark/>
          </w:tcPr>
          <w:p w14:paraId="6BD7C4FF"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51.94 (77.11)</w:t>
            </w:r>
          </w:p>
        </w:tc>
        <w:tc>
          <w:tcPr>
            <w:tcW w:w="1467" w:type="dxa"/>
            <w:shd w:val="clear" w:color="auto" w:fill="auto"/>
            <w:tcMar>
              <w:top w:w="15" w:type="dxa"/>
              <w:left w:w="15" w:type="dxa"/>
              <w:bottom w:w="0" w:type="dxa"/>
              <w:right w:w="15" w:type="dxa"/>
            </w:tcMar>
            <w:vAlign w:val="center"/>
            <w:hideMark/>
          </w:tcPr>
          <w:p w14:paraId="4FAD5230"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55.93 (60.92)</w:t>
            </w:r>
          </w:p>
        </w:tc>
        <w:tc>
          <w:tcPr>
            <w:tcW w:w="688" w:type="dxa"/>
            <w:vMerge w:val="restart"/>
            <w:shd w:val="clear" w:color="auto" w:fill="auto"/>
            <w:tcMar>
              <w:top w:w="15" w:type="dxa"/>
              <w:left w:w="15" w:type="dxa"/>
              <w:bottom w:w="0" w:type="dxa"/>
              <w:right w:w="15" w:type="dxa"/>
            </w:tcMar>
            <w:vAlign w:val="center"/>
            <w:hideMark/>
          </w:tcPr>
          <w:p w14:paraId="4736D67A" w14:textId="77777777" w:rsidR="001C37E4" w:rsidRPr="001C37E4" w:rsidRDefault="001C37E4" w:rsidP="001C37E4">
            <w:pPr>
              <w:spacing w:after="0" w:line="240" w:lineRule="auto"/>
              <w:jc w:val="center"/>
              <w:textAlignment w:val="bottom"/>
              <w:rPr>
                <w:rFonts w:ascii="Arial" w:eastAsia="Times New Roman" w:hAnsi="Arial"/>
                <w:b/>
                <w:color w:val="00B050"/>
                <w:sz w:val="16"/>
                <w:szCs w:val="16"/>
              </w:rPr>
            </w:pPr>
            <w:r w:rsidRPr="001C37E4">
              <w:rPr>
                <w:rFonts w:ascii="Arial" w:eastAsia="Times New Roman" w:hAnsi="Arial"/>
                <w:b/>
                <w:color w:val="00B050"/>
                <w:sz w:val="16"/>
                <w:szCs w:val="16"/>
              </w:rPr>
              <w:t>0.057</w:t>
            </w:r>
          </w:p>
        </w:tc>
        <w:tc>
          <w:tcPr>
            <w:tcW w:w="1470" w:type="dxa"/>
            <w:shd w:val="clear" w:color="auto" w:fill="auto"/>
            <w:tcMar>
              <w:top w:w="15" w:type="dxa"/>
              <w:left w:w="15" w:type="dxa"/>
              <w:bottom w:w="0" w:type="dxa"/>
              <w:right w:w="15" w:type="dxa"/>
            </w:tcMar>
            <w:vAlign w:val="center"/>
            <w:hideMark/>
          </w:tcPr>
          <w:p w14:paraId="1DCED466"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65.91 (65.16)</w:t>
            </w:r>
          </w:p>
        </w:tc>
        <w:tc>
          <w:tcPr>
            <w:tcW w:w="695" w:type="dxa"/>
            <w:vMerge w:val="restart"/>
            <w:shd w:val="clear" w:color="auto" w:fill="auto"/>
            <w:tcMar>
              <w:top w:w="15" w:type="dxa"/>
              <w:left w:w="15" w:type="dxa"/>
              <w:bottom w:w="0" w:type="dxa"/>
              <w:right w:w="15" w:type="dxa"/>
            </w:tcMar>
            <w:vAlign w:val="center"/>
            <w:hideMark/>
          </w:tcPr>
          <w:p w14:paraId="22B70ADF"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0.196</w:t>
            </w:r>
          </w:p>
        </w:tc>
        <w:tc>
          <w:tcPr>
            <w:tcW w:w="1470" w:type="dxa"/>
            <w:shd w:val="clear" w:color="auto" w:fill="auto"/>
            <w:tcMar>
              <w:top w:w="15" w:type="dxa"/>
              <w:left w:w="15" w:type="dxa"/>
              <w:bottom w:w="0" w:type="dxa"/>
              <w:right w:w="15" w:type="dxa"/>
            </w:tcMar>
            <w:vAlign w:val="center"/>
            <w:hideMark/>
          </w:tcPr>
          <w:p w14:paraId="6328E13B"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41.35 (51.10)</w:t>
            </w:r>
          </w:p>
        </w:tc>
        <w:tc>
          <w:tcPr>
            <w:tcW w:w="695" w:type="dxa"/>
            <w:vMerge w:val="restart"/>
            <w:shd w:val="clear" w:color="auto" w:fill="auto"/>
            <w:tcMar>
              <w:top w:w="15" w:type="dxa"/>
              <w:left w:w="15" w:type="dxa"/>
              <w:bottom w:w="0" w:type="dxa"/>
              <w:right w:w="15" w:type="dxa"/>
            </w:tcMar>
            <w:vAlign w:val="center"/>
            <w:hideMark/>
          </w:tcPr>
          <w:p w14:paraId="32557491" w14:textId="77777777" w:rsidR="001C37E4" w:rsidRPr="001C37E4" w:rsidRDefault="001C37E4" w:rsidP="001C37E4">
            <w:pPr>
              <w:spacing w:after="0" w:line="240" w:lineRule="auto"/>
              <w:jc w:val="center"/>
              <w:textAlignment w:val="bottom"/>
              <w:rPr>
                <w:rFonts w:ascii="Arial" w:eastAsia="Times New Roman" w:hAnsi="Arial"/>
                <w:b/>
                <w:color w:val="ED8B00"/>
                <w:sz w:val="16"/>
                <w:szCs w:val="16"/>
              </w:rPr>
            </w:pPr>
            <w:r w:rsidRPr="001C37E4">
              <w:rPr>
                <w:rFonts w:ascii="Arial" w:eastAsia="Times New Roman" w:hAnsi="Arial"/>
                <w:b/>
                <w:color w:val="ED8B00"/>
                <w:sz w:val="16"/>
                <w:szCs w:val="16"/>
              </w:rPr>
              <w:t>0.162</w:t>
            </w:r>
          </w:p>
        </w:tc>
      </w:tr>
      <w:tr w:rsidR="001C37E4" w:rsidRPr="001C37E4" w14:paraId="4F8403DC" w14:textId="77777777" w:rsidTr="00EC53DB">
        <w:trPr>
          <w:trHeight w:val="263"/>
        </w:trPr>
        <w:tc>
          <w:tcPr>
            <w:tcW w:w="0" w:type="auto"/>
            <w:vMerge/>
            <w:vAlign w:val="center"/>
            <w:hideMark/>
          </w:tcPr>
          <w:p w14:paraId="40A68EA7"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115" w:type="dxa"/>
            <w:shd w:val="clear" w:color="auto" w:fill="auto"/>
            <w:tcMar>
              <w:top w:w="15" w:type="dxa"/>
              <w:left w:w="15" w:type="dxa"/>
              <w:bottom w:w="0" w:type="dxa"/>
              <w:right w:w="15" w:type="dxa"/>
            </w:tcMar>
            <w:vAlign w:val="center"/>
            <w:hideMark/>
          </w:tcPr>
          <w:p w14:paraId="50BB6400"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median [IQR]</w:t>
            </w:r>
          </w:p>
        </w:tc>
        <w:tc>
          <w:tcPr>
            <w:tcW w:w="1456" w:type="dxa"/>
            <w:shd w:val="clear" w:color="auto" w:fill="auto"/>
            <w:tcMar>
              <w:top w:w="15" w:type="dxa"/>
              <w:left w:w="15" w:type="dxa"/>
              <w:bottom w:w="0" w:type="dxa"/>
              <w:right w:w="15" w:type="dxa"/>
            </w:tcMar>
            <w:vAlign w:val="center"/>
            <w:hideMark/>
          </w:tcPr>
          <w:p w14:paraId="3FF82AD8"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18.00 [6.00, 60.00]</w:t>
            </w:r>
          </w:p>
        </w:tc>
        <w:tc>
          <w:tcPr>
            <w:tcW w:w="1467" w:type="dxa"/>
            <w:shd w:val="clear" w:color="auto" w:fill="auto"/>
            <w:tcMar>
              <w:top w:w="15" w:type="dxa"/>
              <w:left w:w="15" w:type="dxa"/>
              <w:bottom w:w="0" w:type="dxa"/>
              <w:right w:w="15" w:type="dxa"/>
            </w:tcMar>
            <w:vAlign w:val="center"/>
            <w:hideMark/>
          </w:tcPr>
          <w:p w14:paraId="2E9067F4"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36.00 [12.00, 73.50]</w:t>
            </w:r>
          </w:p>
        </w:tc>
        <w:tc>
          <w:tcPr>
            <w:tcW w:w="0" w:type="auto"/>
            <w:vMerge/>
            <w:vAlign w:val="center"/>
            <w:hideMark/>
          </w:tcPr>
          <w:p w14:paraId="74F0BA0E"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470" w:type="dxa"/>
            <w:shd w:val="clear" w:color="auto" w:fill="auto"/>
            <w:tcMar>
              <w:top w:w="15" w:type="dxa"/>
              <w:left w:w="15" w:type="dxa"/>
              <w:bottom w:w="0" w:type="dxa"/>
              <w:right w:w="15" w:type="dxa"/>
            </w:tcMar>
            <w:vAlign w:val="center"/>
            <w:hideMark/>
          </w:tcPr>
          <w:p w14:paraId="521E90B0"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48.00 [18.00, 89.00]</w:t>
            </w:r>
          </w:p>
        </w:tc>
        <w:tc>
          <w:tcPr>
            <w:tcW w:w="0" w:type="auto"/>
            <w:vMerge/>
            <w:vAlign w:val="center"/>
            <w:hideMark/>
          </w:tcPr>
          <w:p w14:paraId="79A19576"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470" w:type="dxa"/>
            <w:shd w:val="clear" w:color="auto" w:fill="auto"/>
            <w:tcMar>
              <w:top w:w="15" w:type="dxa"/>
              <w:left w:w="15" w:type="dxa"/>
              <w:bottom w:w="0" w:type="dxa"/>
              <w:right w:w="15" w:type="dxa"/>
            </w:tcMar>
            <w:vAlign w:val="center"/>
            <w:hideMark/>
          </w:tcPr>
          <w:p w14:paraId="46EFD4CA"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19.50 [8.25, 58.50]</w:t>
            </w:r>
          </w:p>
        </w:tc>
        <w:tc>
          <w:tcPr>
            <w:tcW w:w="0" w:type="auto"/>
            <w:vMerge/>
            <w:vAlign w:val="center"/>
            <w:hideMark/>
          </w:tcPr>
          <w:p w14:paraId="79C32C36" w14:textId="77777777" w:rsidR="001C37E4" w:rsidRPr="001C37E4" w:rsidRDefault="001C37E4" w:rsidP="001C37E4">
            <w:pPr>
              <w:spacing w:after="0" w:line="240" w:lineRule="auto"/>
              <w:jc w:val="left"/>
              <w:rPr>
                <w:rFonts w:ascii="Arial" w:eastAsia="Times New Roman" w:hAnsi="Arial"/>
                <w:color w:val="000000"/>
                <w:sz w:val="16"/>
                <w:szCs w:val="16"/>
              </w:rPr>
            </w:pPr>
          </w:p>
        </w:tc>
      </w:tr>
      <w:tr w:rsidR="001C37E4" w:rsidRPr="001C37E4" w14:paraId="654E4C9C" w14:textId="77777777" w:rsidTr="00EC53DB">
        <w:trPr>
          <w:trHeight w:val="263"/>
        </w:trPr>
        <w:tc>
          <w:tcPr>
            <w:tcW w:w="0" w:type="auto"/>
            <w:vMerge/>
            <w:vAlign w:val="center"/>
            <w:hideMark/>
          </w:tcPr>
          <w:p w14:paraId="1694ECA9"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115" w:type="dxa"/>
            <w:shd w:val="clear" w:color="auto" w:fill="auto"/>
            <w:tcMar>
              <w:top w:w="15" w:type="dxa"/>
              <w:left w:w="15" w:type="dxa"/>
              <w:bottom w:w="0" w:type="dxa"/>
              <w:right w:w="15" w:type="dxa"/>
            </w:tcMar>
            <w:vAlign w:val="center"/>
            <w:hideMark/>
          </w:tcPr>
          <w:p w14:paraId="6A47CBC9" w14:textId="77777777" w:rsidR="001C37E4" w:rsidRPr="001C37E4" w:rsidRDefault="001C37E4" w:rsidP="001C37E4">
            <w:pPr>
              <w:spacing w:after="0" w:line="240" w:lineRule="auto"/>
              <w:jc w:val="left"/>
              <w:textAlignment w:val="bottom"/>
              <w:rPr>
                <w:rFonts w:ascii="Arial" w:eastAsia="Times New Roman" w:hAnsi="Arial"/>
                <w:color w:val="000000"/>
                <w:sz w:val="16"/>
                <w:szCs w:val="16"/>
              </w:rPr>
            </w:pPr>
            <w:r w:rsidRPr="001C37E4">
              <w:rPr>
                <w:rFonts w:ascii="Arial" w:eastAsia="Times New Roman" w:hAnsi="Arial"/>
                <w:color w:val="000000"/>
                <w:sz w:val="16"/>
                <w:szCs w:val="16"/>
              </w:rPr>
              <w:t>median [range]</w:t>
            </w:r>
          </w:p>
        </w:tc>
        <w:tc>
          <w:tcPr>
            <w:tcW w:w="1456" w:type="dxa"/>
            <w:shd w:val="clear" w:color="auto" w:fill="auto"/>
            <w:tcMar>
              <w:top w:w="15" w:type="dxa"/>
              <w:left w:w="15" w:type="dxa"/>
              <w:bottom w:w="0" w:type="dxa"/>
              <w:right w:w="15" w:type="dxa"/>
            </w:tcMar>
            <w:vAlign w:val="center"/>
            <w:hideMark/>
          </w:tcPr>
          <w:p w14:paraId="5F61C74B"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18.00 [1.00, 432.00]</w:t>
            </w:r>
          </w:p>
        </w:tc>
        <w:tc>
          <w:tcPr>
            <w:tcW w:w="1467" w:type="dxa"/>
            <w:shd w:val="clear" w:color="auto" w:fill="auto"/>
            <w:tcMar>
              <w:top w:w="15" w:type="dxa"/>
              <w:left w:w="15" w:type="dxa"/>
              <w:bottom w:w="0" w:type="dxa"/>
              <w:right w:w="15" w:type="dxa"/>
            </w:tcMar>
            <w:vAlign w:val="center"/>
            <w:hideMark/>
          </w:tcPr>
          <w:p w14:paraId="452769F4"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36.00 [2.00, 306.00]</w:t>
            </w:r>
          </w:p>
        </w:tc>
        <w:tc>
          <w:tcPr>
            <w:tcW w:w="0" w:type="auto"/>
            <w:vMerge/>
            <w:vAlign w:val="center"/>
            <w:hideMark/>
          </w:tcPr>
          <w:p w14:paraId="14188A16"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470" w:type="dxa"/>
            <w:shd w:val="clear" w:color="auto" w:fill="auto"/>
            <w:tcMar>
              <w:top w:w="15" w:type="dxa"/>
              <w:left w:w="15" w:type="dxa"/>
              <w:bottom w:w="0" w:type="dxa"/>
              <w:right w:w="15" w:type="dxa"/>
            </w:tcMar>
            <w:vAlign w:val="center"/>
            <w:hideMark/>
          </w:tcPr>
          <w:p w14:paraId="0C763CAC"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48.00 [2.00, 306.00]</w:t>
            </w:r>
          </w:p>
        </w:tc>
        <w:tc>
          <w:tcPr>
            <w:tcW w:w="0" w:type="auto"/>
            <w:vMerge/>
            <w:vAlign w:val="center"/>
            <w:hideMark/>
          </w:tcPr>
          <w:p w14:paraId="2F023B52" w14:textId="77777777" w:rsidR="001C37E4" w:rsidRPr="001C37E4" w:rsidRDefault="001C37E4" w:rsidP="001C37E4">
            <w:pPr>
              <w:spacing w:after="0" w:line="240" w:lineRule="auto"/>
              <w:jc w:val="left"/>
              <w:rPr>
                <w:rFonts w:ascii="Arial" w:eastAsia="Times New Roman" w:hAnsi="Arial"/>
                <w:color w:val="000000"/>
                <w:sz w:val="16"/>
                <w:szCs w:val="16"/>
              </w:rPr>
            </w:pPr>
          </w:p>
        </w:tc>
        <w:tc>
          <w:tcPr>
            <w:tcW w:w="1470" w:type="dxa"/>
            <w:shd w:val="clear" w:color="auto" w:fill="auto"/>
            <w:tcMar>
              <w:top w:w="15" w:type="dxa"/>
              <w:left w:w="15" w:type="dxa"/>
              <w:bottom w:w="0" w:type="dxa"/>
              <w:right w:w="15" w:type="dxa"/>
            </w:tcMar>
            <w:vAlign w:val="center"/>
            <w:hideMark/>
          </w:tcPr>
          <w:p w14:paraId="03AA9268" w14:textId="77777777" w:rsidR="001C37E4" w:rsidRPr="001C37E4" w:rsidRDefault="001C37E4" w:rsidP="001C37E4">
            <w:pPr>
              <w:spacing w:after="0" w:line="240" w:lineRule="auto"/>
              <w:jc w:val="center"/>
              <w:textAlignment w:val="bottom"/>
              <w:rPr>
                <w:rFonts w:ascii="Arial" w:eastAsia="Times New Roman" w:hAnsi="Arial"/>
                <w:color w:val="000000"/>
                <w:sz w:val="16"/>
                <w:szCs w:val="16"/>
              </w:rPr>
            </w:pPr>
            <w:r w:rsidRPr="001C37E4">
              <w:rPr>
                <w:rFonts w:ascii="Arial" w:eastAsia="Times New Roman" w:hAnsi="Arial"/>
                <w:color w:val="000000"/>
                <w:sz w:val="16"/>
                <w:szCs w:val="16"/>
              </w:rPr>
              <w:t>19.50 [2.00, 264.00]</w:t>
            </w:r>
          </w:p>
        </w:tc>
        <w:tc>
          <w:tcPr>
            <w:tcW w:w="0" w:type="auto"/>
            <w:vMerge/>
            <w:vAlign w:val="center"/>
            <w:hideMark/>
          </w:tcPr>
          <w:p w14:paraId="41BF5C8C" w14:textId="77777777" w:rsidR="001C37E4" w:rsidRPr="001C37E4" w:rsidRDefault="001C37E4" w:rsidP="001C37E4">
            <w:pPr>
              <w:spacing w:after="0" w:line="240" w:lineRule="auto"/>
              <w:jc w:val="left"/>
              <w:rPr>
                <w:rFonts w:ascii="Arial" w:eastAsia="Times New Roman" w:hAnsi="Arial"/>
                <w:color w:val="000000"/>
                <w:sz w:val="16"/>
                <w:szCs w:val="16"/>
              </w:rPr>
            </w:pPr>
          </w:p>
        </w:tc>
      </w:tr>
    </w:tbl>
    <w:tbl>
      <w:tblPr>
        <w:tblStyle w:val="TableGrid1"/>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9071"/>
      </w:tblGrid>
      <w:tr w:rsidR="001C37E4" w:rsidRPr="001C37E4" w14:paraId="372F2756" w14:textId="77777777" w:rsidTr="00EC53DB">
        <w:trPr>
          <w:trHeight w:val="245"/>
        </w:trPr>
        <w:tc>
          <w:tcPr>
            <w:tcW w:w="279" w:type="dxa"/>
            <w:shd w:val="clear" w:color="auto" w:fill="00B050"/>
            <w:vAlign w:val="center"/>
          </w:tcPr>
          <w:p w14:paraId="07DDF024" w14:textId="77777777" w:rsidR="001C37E4" w:rsidRPr="001C37E4" w:rsidRDefault="001C37E4" w:rsidP="001C37E4">
            <w:pPr>
              <w:spacing w:after="0" w:line="240" w:lineRule="auto"/>
              <w:jc w:val="left"/>
              <w:rPr>
                <w:rFonts w:ascii="Times New Roman" w:hAnsi="Times New Roman"/>
                <w:sz w:val="16"/>
                <w:szCs w:val="16"/>
                <w:lang w:val="en-CA"/>
              </w:rPr>
            </w:pPr>
          </w:p>
        </w:tc>
        <w:tc>
          <w:tcPr>
            <w:tcW w:w="9071" w:type="dxa"/>
            <w:vAlign w:val="center"/>
            <w:hideMark/>
          </w:tcPr>
          <w:p w14:paraId="68524508"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Small Difference (SMD 0.0 to 0.1)</w:t>
            </w:r>
          </w:p>
        </w:tc>
      </w:tr>
      <w:tr w:rsidR="001C37E4" w:rsidRPr="001C37E4" w14:paraId="57EB2249" w14:textId="77777777" w:rsidTr="00EC53DB">
        <w:trPr>
          <w:trHeight w:val="245"/>
        </w:trPr>
        <w:tc>
          <w:tcPr>
            <w:tcW w:w="279" w:type="dxa"/>
            <w:shd w:val="clear" w:color="auto" w:fill="FFC000"/>
            <w:vAlign w:val="center"/>
          </w:tcPr>
          <w:p w14:paraId="2704E982" w14:textId="77777777" w:rsidR="001C37E4" w:rsidRPr="001C37E4" w:rsidRDefault="001C37E4" w:rsidP="001C37E4">
            <w:pPr>
              <w:spacing w:after="0" w:line="240" w:lineRule="auto"/>
              <w:jc w:val="left"/>
              <w:rPr>
                <w:rFonts w:ascii="Times New Roman" w:hAnsi="Times New Roman"/>
                <w:sz w:val="16"/>
                <w:szCs w:val="16"/>
                <w:lang w:val="en-CA"/>
              </w:rPr>
            </w:pPr>
          </w:p>
        </w:tc>
        <w:tc>
          <w:tcPr>
            <w:tcW w:w="9071" w:type="dxa"/>
            <w:vAlign w:val="center"/>
            <w:hideMark/>
          </w:tcPr>
          <w:p w14:paraId="027EDCD9"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Moderate Difference (SMD &gt;0.1 to 0.2)</w:t>
            </w:r>
          </w:p>
        </w:tc>
      </w:tr>
      <w:tr w:rsidR="001C37E4" w:rsidRPr="001C37E4" w14:paraId="0DA5AC0B" w14:textId="77777777" w:rsidTr="001C37E4">
        <w:trPr>
          <w:trHeight w:val="245"/>
        </w:trPr>
        <w:tc>
          <w:tcPr>
            <w:tcW w:w="279" w:type="dxa"/>
            <w:shd w:val="clear" w:color="auto" w:fill="DC4405"/>
            <w:vAlign w:val="center"/>
          </w:tcPr>
          <w:p w14:paraId="728F1FDD" w14:textId="77777777" w:rsidR="001C37E4" w:rsidRPr="001C37E4" w:rsidRDefault="001C37E4" w:rsidP="001C37E4">
            <w:pPr>
              <w:spacing w:after="0" w:line="240" w:lineRule="auto"/>
              <w:jc w:val="left"/>
              <w:rPr>
                <w:rFonts w:ascii="Times New Roman" w:hAnsi="Times New Roman"/>
                <w:sz w:val="16"/>
                <w:szCs w:val="16"/>
                <w:lang w:val="en-CA"/>
              </w:rPr>
            </w:pPr>
          </w:p>
        </w:tc>
        <w:tc>
          <w:tcPr>
            <w:tcW w:w="9071" w:type="dxa"/>
            <w:vAlign w:val="center"/>
            <w:hideMark/>
          </w:tcPr>
          <w:p w14:paraId="77C64DDA"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Substantial Difference (SMD &gt;0.2)</w:t>
            </w:r>
          </w:p>
        </w:tc>
      </w:tr>
    </w:tbl>
    <w:p w14:paraId="27C5E19D" w14:textId="77777777" w:rsidR="001C37E4" w:rsidRPr="001C37E4" w:rsidRDefault="001C37E4" w:rsidP="001C37E4">
      <w:pPr>
        <w:spacing w:after="480" w:line="240" w:lineRule="auto"/>
        <w:jc w:val="left"/>
        <w:rPr>
          <w:rFonts w:ascii="Arial" w:hAnsi="Arial"/>
          <w:sz w:val="16"/>
          <w:szCs w:val="16"/>
          <w:lang w:val="en-CA"/>
        </w:rPr>
      </w:pPr>
      <w:r w:rsidRPr="001C37E4">
        <w:rPr>
          <w:rFonts w:ascii="Arial" w:hAnsi="Arial"/>
          <w:sz w:val="16"/>
          <w:szCs w:val="16"/>
          <w:lang w:val="en-CA"/>
        </w:rPr>
        <w:t>Abbreviations: AF = atrial fibrillation; IQR = interquartile range; LA = left atria; mITT = modified intention-to-treat; SD = standard deviation; SMD = standardized mean difference</w:t>
      </w:r>
    </w:p>
    <w:p w14:paraId="6D6CFFAD" w14:textId="77777777" w:rsidR="001C37E4" w:rsidRPr="001C37E4" w:rsidRDefault="001C37E4" w:rsidP="001C37E4">
      <w:pPr>
        <w:rPr>
          <w:rFonts w:ascii="Arial" w:hAnsi="Arial"/>
        </w:rPr>
        <w:sectPr w:rsidR="001C37E4" w:rsidRPr="001C37E4" w:rsidSect="00EF6407">
          <w:footnotePr>
            <w:numFmt w:val="lowerRoman"/>
          </w:footnotePr>
          <w:pgSz w:w="12240" w:h="15840"/>
          <w:pgMar w:top="1440" w:right="1440" w:bottom="1440" w:left="1440" w:header="576" w:footer="144" w:gutter="0"/>
          <w:cols w:space="708"/>
          <w:docGrid w:linePitch="360"/>
        </w:sectPr>
      </w:pPr>
    </w:p>
    <w:p w14:paraId="0999802B" w14:textId="77777777" w:rsidR="001C37E4" w:rsidRPr="001C37E4" w:rsidRDefault="001C37E4" w:rsidP="001C37E4">
      <w:pPr>
        <w:keepNext/>
        <w:spacing w:after="60"/>
        <w:jc w:val="left"/>
        <w:rPr>
          <w:rFonts w:ascii="Arial" w:hAnsi="Arial"/>
          <w:b/>
          <w:bCs/>
          <w:sz w:val="20"/>
          <w:szCs w:val="20"/>
        </w:rPr>
      </w:pPr>
      <w:r w:rsidRPr="001C37E4">
        <w:rPr>
          <w:rFonts w:ascii="Arial" w:hAnsi="Arial"/>
          <w:b/>
          <w:bCs/>
          <w:sz w:val="20"/>
          <w:szCs w:val="20"/>
        </w:rPr>
        <w:lastRenderedPageBreak/>
        <w:t>Appendix 7: Forest plot of IPTW results for each procedure time scenario</w:t>
      </w:r>
    </w:p>
    <w:p w14:paraId="60D6AFE3" w14:textId="30AF8837" w:rsidR="001C37E4" w:rsidRPr="001C37E4" w:rsidRDefault="00C60D5B" w:rsidP="001C37E4">
      <w:pPr>
        <w:spacing w:after="120"/>
        <w:jc w:val="center"/>
        <w:rPr>
          <w:rFonts w:ascii="Arial" w:hAnsi="Arial"/>
          <w:lang w:val="en-CA"/>
        </w:rPr>
      </w:pPr>
      <w:r>
        <w:rPr>
          <w:noProof/>
        </w:rPr>
        <w:drawing>
          <wp:inline distT="0" distB="0" distL="0" distR="0" wp14:anchorId="590983A4" wp14:editId="7D523D35">
            <wp:extent cx="5943600" cy="272097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2720975"/>
                    </a:xfrm>
                    <a:prstGeom prst="rect">
                      <a:avLst/>
                    </a:prstGeom>
                  </pic:spPr>
                </pic:pic>
              </a:graphicData>
            </a:graphic>
          </wp:inline>
        </w:drawing>
      </w:r>
    </w:p>
    <w:p w14:paraId="27266F22"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Scenario A adjusts for all available ranked factors; race (non-white), age, thromboembolic event (composite), other arrhythmia (composite), hypertension, ethnicity (Hispanic/Latino), left atria diameter, diabetes, sex (female), heart disease (composite), left ventricular ejection fraction, ablation procedure within 1 year prior to enrollment, and duration of symptomatic AF in months. Subsequent scenarios (B to M) involved dropping factors one at a time in the order of least to most important, as identified during the ranking procedure.</w:t>
      </w:r>
    </w:p>
    <w:p w14:paraId="2C3F5C88" w14:textId="2D82AB49" w:rsidR="000E6B97" w:rsidRDefault="001C37E4" w:rsidP="000E6B97">
      <w:pPr>
        <w:spacing w:after="240" w:line="240" w:lineRule="auto"/>
        <w:jc w:val="left"/>
        <w:rPr>
          <w:rFonts w:ascii="Arial" w:hAnsi="Arial"/>
          <w:b/>
          <w:bCs/>
          <w:sz w:val="20"/>
          <w:szCs w:val="20"/>
        </w:rPr>
      </w:pPr>
      <w:r w:rsidRPr="001C37E4">
        <w:rPr>
          <w:rFonts w:ascii="Arial" w:hAnsi="Arial"/>
          <w:sz w:val="16"/>
          <w:szCs w:val="16"/>
          <w:lang w:val="en-CA"/>
        </w:rPr>
        <w:t xml:space="preserve">Abbreviations: </w:t>
      </w:r>
      <w:r w:rsidR="00DA1043">
        <w:rPr>
          <w:rFonts w:ascii="Arial" w:hAnsi="Arial"/>
          <w:sz w:val="16"/>
          <w:szCs w:val="16"/>
          <w:lang w:val="en-CA"/>
        </w:rPr>
        <w:t xml:space="preserve">AF = atrial fibrillation; </w:t>
      </w:r>
      <w:r w:rsidRPr="001C37E4">
        <w:rPr>
          <w:rFonts w:ascii="Arial" w:hAnsi="Arial"/>
          <w:sz w:val="16"/>
          <w:szCs w:val="16"/>
          <w:lang w:val="en-CA"/>
        </w:rPr>
        <w:t xml:space="preserve">CI = confidence interval; </w:t>
      </w:r>
      <w:r w:rsidR="00DA1043">
        <w:rPr>
          <w:rFonts w:ascii="Arial" w:hAnsi="Arial"/>
          <w:sz w:val="16"/>
          <w:szCs w:val="16"/>
          <w:lang w:val="en-CA"/>
        </w:rPr>
        <w:t xml:space="preserve">LA = left atria; LVEF = left ventricle ejection fraction; </w:t>
      </w:r>
      <w:r w:rsidRPr="001C37E4">
        <w:rPr>
          <w:rFonts w:ascii="Arial" w:hAnsi="Arial"/>
          <w:sz w:val="16"/>
          <w:szCs w:val="16"/>
          <w:lang w:val="en-CA"/>
        </w:rPr>
        <w:t>RoM = ratio of means</w:t>
      </w:r>
      <w:bookmarkStart w:id="0" w:name="_Ref100325086"/>
      <w:bookmarkStart w:id="1" w:name="_Toc100241026"/>
      <w:bookmarkStart w:id="2" w:name="_Toc100851626"/>
      <w:r w:rsidR="000E6B97">
        <w:rPr>
          <w:rFonts w:ascii="Arial" w:hAnsi="Arial"/>
          <w:b/>
          <w:bCs/>
          <w:sz w:val="20"/>
          <w:szCs w:val="20"/>
        </w:rPr>
        <w:br w:type="page"/>
      </w:r>
    </w:p>
    <w:p w14:paraId="05E21A4A" w14:textId="3627B45E" w:rsidR="001C37E4" w:rsidRPr="001C37E4" w:rsidRDefault="001C37E4" w:rsidP="001C37E4">
      <w:pPr>
        <w:keepNext/>
        <w:spacing w:before="240" w:after="60"/>
        <w:jc w:val="left"/>
        <w:rPr>
          <w:rFonts w:ascii="Arial" w:hAnsi="Arial"/>
          <w:b/>
          <w:bCs/>
          <w:sz w:val="20"/>
          <w:szCs w:val="20"/>
        </w:rPr>
      </w:pPr>
      <w:r w:rsidRPr="001C37E4">
        <w:rPr>
          <w:rFonts w:ascii="Arial" w:hAnsi="Arial"/>
          <w:b/>
          <w:bCs/>
          <w:sz w:val="20"/>
          <w:szCs w:val="20"/>
        </w:rPr>
        <w:lastRenderedPageBreak/>
        <w:t xml:space="preserve">Appendix </w:t>
      </w:r>
      <w:bookmarkEnd w:id="0"/>
      <w:r w:rsidRPr="001C37E4">
        <w:rPr>
          <w:rFonts w:ascii="Arial" w:hAnsi="Arial"/>
          <w:b/>
          <w:bCs/>
          <w:sz w:val="20"/>
          <w:szCs w:val="20"/>
        </w:rPr>
        <w:t>8: Forest plot of IPTW results for each fluoroscopy time scenario</w:t>
      </w:r>
      <w:bookmarkEnd w:id="1"/>
      <w:bookmarkEnd w:id="2"/>
      <w:r w:rsidRPr="001C37E4">
        <w:rPr>
          <w:rFonts w:ascii="Arial" w:hAnsi="Arial"/>
          <w:b/>
          <w:bCs/>
          <w:sz w:val="20"/>
          <w:szCs w:val="20"/>
        </w:rPr>
        <w:t xml:space="preserve"> </w:t>
      </w:r>
    </w:p>
    <w:p w14:paraId="4E174C3E" w14:textId="40EC2AC6" w:rsidR="001C37E4" w:rsidRPr="001C37E4" w:rsidRDefault="00C60D5B" w:rsidP="001C37E4">
      <w:pPr>
        <w:spacing w:after="120"/>
        <w:jc w:val="center"/>
        <w:rPr>
          <w:rFonts w:ascii="Arial" w:hAnsi="Arial"/>
        </w:rPr>
      </w:pPr>
      <w:r>
        <w:rPr>
          <w:noProof/>
        </w:rPr>
        <w:drawing>
          <wp:inline distT="0" distB="0" distL="0" distR="0" wp14:anchorId="3F31CAC4" wp14:editId="503A5ED2">
            <wp:extent cx="5943600" cy="26543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4457"/>
                    <a:stretch/>
                  </pic:blipFill>
                  <pic:spPr bwMode="auto">
                    <a:xfrm>
                      <a:off x="0" y="0"/>
                      <a:ext cx="5943600" cy="2654300"/>
                    </a:xfrm>
                    <a:prstGeom prst="rect">
                      <a:avLst/>
                    </a:prstGeom>
                    <a:ln>
                      <a:noFill/>
                    </a:ln>
                    <a:extLst>
                      <a:ext uri="{53640926-AAD7-44D8-BBD7-CCE9431645EC}">
                        <a14:shadowObscured xmlns:a14="http://schemas.microsoft.com/office/drawing/2010/main"/>
                      </a:ext>
                    </a:extLst>
                  </pic:spPr>
                </pic:pic>
              </a:graphicData>
            </a:graphic>
          </wp:inline>
        </w:drawing>
      </w:r>
    </w:p>
    <w:p w14:paraId="6ED4CBAD" w14:textId="77777777"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Scenario A adjusts for all available ranked factors; race (non-white), age, thromboembolic event (composite), other arrhythmia (composite), hypertension, ethnicity (Hispanic/Latino), left atria diameter, diabetes, sex (female), heart disease (composite), left ventricular ejection fraction, ablation procedure within 1 year prior to enrollment, and duration of symptomatic AF in months. Subsequent scenarios (B to M) involved dropping factors one at a time in the order of least to most important, as identified during the ranking procedure.</w:t>
      </w:r>
    </w:p>
    <w:p w14:paraId="32696C75" w14:textId="77777777" w:rsidR="00DA1043" w:rsidRPr="001C37E4" w:rsidRDefault="001C37E4" w:rsidP="00DA1043">
      <w:pPr>
        <w:spacing w:after="240" w:line="240" w:lineRule="auto"/>
        <w:jc w:val="left"/>
        <w:rPr>
          <w:rFonts w:ascii="Arial" w:hAnsi="Arial"/>
          <w:sz w:val="16"/>
          <w:szCs w:val="16"/>
          <w:lang w:val="en-CA"/>
        </w:rPr>
      </w:pPr>
      <w:r w:rsidRPr="001C37E4">
        <w:rPr>
          <w:rFonts w:ascii="Arial" w:hAnsi="Arial"/>
          <w:sz w:val="16"/>
          <w:szCs w:val="16"/>
          <w:lang w:val="en-CA"/>
        </w:rPr>
        <w:t xml:space="preserve">Abbreviations: </w:t>
      </w:r>
      <w:r w:rsidR="00DA1043">
        <w:rPr>
          <w:rFonts w:ascii="Arial" w:hAnsi="Arial"/>
          <w:sz w:val="16"/>
          <w:szCs w:val="16"/>
          <w:lang w:val="en-CA"/>
        </w:rPr>
        <w:t xml:space="preserve">AF = atrial fibrillation; </w:t>
      </w:r>
      <w:r w:rsidR="00DA1043" w:rsidRPr="001C37E4">
        <w:rPr>
          <w:rFonts w:ascii="Arial" w:hAnsi="Arial"/>
          <w:sz w:val="16"/>
          <w:szCs w:val="16"/>
          <w:lang w:val="en-CA"/>
        </w:rPr>
        <w:t xml:space="preserve">CI = confidence interval; </w:t>
      </w:r>
      <w:r w:rsidR="00DA1043">
        <w:rPr>
          <w:rFonts w:ascii="Arial" w:hAnsi="Arial"/>
          <w:sz w:val="16"/>
          <w:szCs w:val="16"/>
          <w:lang w:val="en-CA"/>
        </w:rPr>
        <w:t xml:space="preserve">LA = left atria; LVEF = left ventricle ejection fraction; </w:t>
      </w:r>
      <w:r w:rsidR="00DA1043" w:rsidRPr="001C37E4">
        <w:rPr>
          <w:rFonts w:ascii="Arial" w:hAnsi="Arial"/>
          <w:sz w:val="16"/>
          <w:szCs w:val="16"/>
          <w:lang w:val="en-CA"/>
        </w:rPr>
        <w:t>RoM = ratio of means</w:t>
      </w:r>
    </w:p>
    <w:p w14:paraId="0AAD6F0F" w14:textId="77777777" w:rsidR="000E6B97" w:rsidRDefault="000E6B97">
      <w:pPr>
        <w:spacing w:after="160" w:line="259" w:lineRule="auto"/>
        <w:jc w:val="left"/>
        <w:rPr>
          <w:rFonts w:ascii="Arial" w:hAnsi="Arial"/>
          <w:b/>
          <w:bCs/>
          <w:sz w:val="20"/>
          <w:szCs w:val="20"/>
        </w:rPr>
      </w:pPr>
      <w:r>
        <w:rPr>
          <w:rFonts w:ascii="Arial" w:hAnsi="Arial"/>
          <w:b/>
          <w:bCs/>
          <w:sz w:val="20"/>
          <w:szCs w:val="20"/>
        </w:rPr>
        <w:br w:type="page"/>
      </w:r>
    </w:p>
    <w:p w14:paraId="0A60E04D" w14:textId="15CD93D7" w:rsidR="001C37E4" w:rsidRPr="00F931C8" w:rsidRDefault="001C37E4" w:rsidP="00F931C8">
      <w:pPr>
        <w:spacing w:after="480" w:line="240" w:lineRule="auto"/>
        <w:jc w:val="left"/>
        <w:rPr>
          <w:rFonts w:ascii="Arial" w:hAnsi="Arial"/>
          <w:b/>
          <w:bCs/>
          <w:sz w:val="20"/>
          <w:szCs w:val="20"/>
          <w:lang w:val="en-CA"/>
        </w:rPr>
      </w:pPr>
      <w:r w:rsidRPr="001C37E4">
        <w:rPr>
          <w:rFonts w:ascii="Arial" w:hAnsi="Arial"/>
          <w:b/>
          <w:bCs/>
          <w:sz w:val="20"/>
          <w:szCs w:val="20"/>
        </w:rPr>
        <w:lastRenderedPageBreak/>
        <w:t xml:space="preserve">Appendix 9: </w:t>
      </w:r>
      <w:r w:rsidRPr="001C37E4">
        <w:rPr>
          <w:rFonts w:ascii="Arial" w:hAnsi="Arial"/>
          <w:b/>
          <w:bCs/>
          <w:sz w:val="20"/>
          <w:szCs w:val="20"/>
          <w:lang w:val="en-CA"/>
        </w:rPr>
        <w:t>Kaplan-Meier curve of clinical success at 12 months (adjusted for all factors)</w:t>
      </w:r>
    </w:p>
    <w:p w14:paraId="4189A192" w14:textId="32DAF94D" w:rsidR="001C37E4" w:rsidRPr="001C37E4" w:rsidRDefault="00F931C8" w:rsidP="001C37E4">
      <w:pPr>
        <w:jc w:val="center"/>
        <w:rPr>
          <w:rFonts w:ascii="Arial" w:hAnsi="Arial"/>
          <w:lang w:val="en-CA"/>
        </w:rPr>
      </w:pPr>
      <w:r>
        <w:rPr>
          <w:noProof/>
        </w:rPr>
        <w:drawing>
          <wp:inline distT="0" distB="0" distL="0" distR="0" wp14:anchorId="159AD332" wp14:editId="0F23226B">
            <wp:extent cx="5918200" cy="2803525"/>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r="428"/>
                    <a:stretch/>
                  </pic:blipFill>
                  <pic:spPr bwMode="auto">
                    <a:xfrm>
                      <a:off x="0" y="0"/>
                      <a:ext cx="5918200" cy="2803525"/>
                    </a:xfrm>
                    <a:prstGeom prst="rect">
                      <a:avLst/>
                    </a:prstGeom>
                    <a:ln>
                      <a:noFill/>
                    </a:ln>
                    <a:extLst>
                      <a:ext uri="{53640926-AAD7-44D8-BBD7-CCE9431645EC}">
                        <a14:shadowObscured xmlns:a14="http://schemas.microsoft.com/office/drawing/2010/main"/>
                      </a:ext>
                    </a:extLst>
                  </pic:spPr>
                </pic:pic>
              </a:graphicData>
            </a:graphic>
          </wp:inline>
        </w:drawing>
      </w:r>
    </w:p>
    <w:p w14:paraId="41227C28" w14:textId="77777777" w:rsidR="000E6B97" w:rsidRDefault="000E6B97">
      <w:pPr>
        <w:spacing w:after="160" w:line="259" w:lineRule="auto"/>
        <w:jc w:val="left"/>
        <w:rPr>
          <w:rFonts w:ascii="Arial" w:hAnsi="Arial"/>
          <w:b/>
          <w:bCs/>
          <w:sz w:val="20"/>
          <w:szCs w:val="20"/>
        </w:rPr>
      </w:pPr>
      <w:r>
        <w:rPr>
          <w:rFonts w:ascii="Arial" w:hAnsi="Arial"/>
          <w:b/>
          <w:bCs/>
          <w:sz w:val="20"/>
          <w:szCs w:val="20"/>
        </w:rPr>
        <w:br w:type="page"/>
      </w:r>
    </w:p>
    <w:p w14:paraId="5E858C53" w14:textId="08F1D91A" w:rsidR="001C37E4" w:rsidRPr="001C37E4" w:rsidRDefault="001C37E4" w:rsidP="001C37E4">
      <w:pPr>
        <w:keepNext/>
        <w:spacing w:before="240" w:after="120" w:line="240" w:lineRule="auto"/>
        <w:rPr>
          <w:rFonts w:ascii="Arial" w:hAnsi="Arial"/>
          <w:b/>
          <w:bCs/>
          <w:sz w:val="20"/>
          <w:szCs w:val="20"/>
        </w:rPr>
      </w:pPr>
      <w:r w:rsidRPr="001C37E4">
        <w:rPr>
          <w:rFonts w:ascii="Arial" w:hAnsi="Arial"/>
          <w:b/>
          <w:bCs/>
          <w:sz w:val="20"/>
          <w:szCs w:val="20"/>
        </w:rPr>
        <w:lastRenderedPageBreak/>
        <w:t xml:space="preserve">Appendix 10: Forest plot of IPTW results for each clinical success at 12 months scenario </w:t>
      </w:r>
    </w:p>
    <w:p w14:paraId="44652E9C" w14:textId="58BBEBD8" w:rsidR="001C37E4" w:rsidRPr="001C37E4" w:rsidRDefault="00C60D5B" w:rsidP="001C37E4">
      <w:pPr>
        <w:spacing w:after="120"/>
        <w:jc w:val="center"/>
        <w:rPr>
          <w:rFonts w:ascii="Arial" w:hAnsi="Arial"/>
          <w:lang w:val="en-CA"/>
        </w:rPr>
      </w:pPr>
      <w:r>
        <w:rPr>
          <w:noProof/>
        </w:rPr>
        <w:drawing>
          <wp:inline distT="0" distB="0" distL="0" distR="0" wp14:anchorId="3C53AB2A" wp14:editId="58584FB8">
            <wp:extent cx="5943600" cy="271081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2710815"/>
                    </a:xfrm>
                    <a:prstGeom prst="rect">
                      <a:avLst/>
                    </a:prstGeom>
                  </pic:spPr>
                </pic:pic>
              </a:graphicData>
            </a:graphic>
          </wp:inline>
        </w:drawing>
      </w:r>
    </w:p>
    <w:p w14:paraId="78B9E412" w14:textId="2E20F4EF" w:rsidR="001C37E4" w:rsidRPr="001C37E4" w:rsidRDefault="001C37E4" w:rsidP="001C37E4">
      <w:pPr>
        <w:spacing w:after="0" w:line="240" w:lineRule="auto"/>
        <w:jc w:val="left"/>
        <w:rPr>
          <w:rFonts w:ascii="Arial" w:hAnsi="Arial"/>
          <w:sz w:val="16"/>
          <w:szCs w:val="16"/>
          <w:lang w:val="en-CA"/>
        </w:rPr>
      </w:pPr>
      <w:r w:rsidRPr="001C37E4">
        <w:rPr>
          <w:rFonts w:ascii="Arial" w:hAnsi="Arial"/>
          <w:sz w:val="16"/>
          <w:szCs w:val="16"/>
          <w:lang w:val="en-CA"/>
        </w:rPr>
        <w:t>Scenario A adjusts for all available ranked factors; race (non-white),</w:t>
      </w:r>
      <w:r w:rsidR="005D0915">
        <w:rPr>
          <w:rFonts w:ascii="Arial" w:hAnsi="Arial"/>
          <w:sz w:val="16"/>
          <w:szCs w:val="16"/>
          <w:lang w:val="en-CA"/>
        </w:rPr>
        <w:t xml:space="preserve"> hypertension, diabetes, age, left ventricular ejection fraction, </w:t>
      </w:r>
      <w:r w:rsidRPr="001C37E4">
        <w:rPr>
          <w:rFonts w:ascii="Arial" w:hAnsi="Arial"/>
          <w:sz w:val="16"/>
          <w:szCs w:val="16"/>
          <w:lang w:val="en-CA"/>
        </w:rPr>
        <w:t>thromboembolic event (composite),</w:t>
      </w:r>
      <w:r w:rsidR="005D0915">
        <w:rPr>
          <w:rFonts w:ascii="Arial" w:hAnsi="Arial"/>
          <w:sz w:val="16"/>
          <w:szCs w:val="16"/>
          <w:lang w:val="en-CA"/>
        </w:rPr>
        <w:t xml:space="preserve"> duration of symptomatic AF in months, ablation within 1 year</w:t>
      </w:r>
      <w:r w:rsidR="00592EF2">
        <w:rPr>
          <w:rFonts w:ascii="Arial" w:hAnsi="Arial"/>
          <w:sz w:val="16"/>
          <w:szCs w:val="16"/>
          <w:lang w:val="en-CA"/>
        </w:rPr>
        <w:t xml:space="preserve"> from enrollment</w:t>
      </w:r>
      <w:r w:rsidR="005D0915">
        <w:rPr>
          <w:rFonts w:ascii="Arial" w:hAnsi="Arial"/>
          <w:sz w:val="16"/>
          <w:szCs w:val="16"/>
          <w:lang w:val="en-CA"/>
        </w:rPr>
        <w:t>, left atria diameter, other arrhythmia (composite), sex</w:t>
      </w:r>
      <w:r w:rsidR="00592EF2">
        <w:rPr>
          <w:rFonts w:ascii="Arial" w:hAnsi="Arial"/>
          <w:sz w:val="16"/>
          <w:szCs w:val="16"/>
          <w:lang w:val="en-CA"/>
        </w:rPr>
        <w:t xml:space="preserve"> (female)</w:t>
      </w:r>
      <w:r w:rsidR="005D0915">
        <w:rPr>
          <w:rFonts w:ascii="Arial" w:hAnsi="Arial"/>
          <w:sz w:val="16"/>
          <w:szCs w:val="16"/>
          <w:lang w:val="en-CA"/>
        </w:rPr>
        <w:t xml:space="preserve">, ethnicity </w:t>
      </w:r>
      <w:r w:rsidR="005D0915" w:rsidRPr="001C37E4">
        <w:rPr>
          <w:rFonts w:ascii="Arial" w:hAnsi="Arial"/>
          <w:sz w:val="16"/>
          <w:szCs w:val="16"/>
          <w:lang w:val="en-CA"/>
        </w:rPr>
        <w:t>(Hispanic/Latino)</w:t>
      </w:r>
      <w:r w:rsidR="00571A88">
        <w:rPr>
          <w:rFonts w:ascii="Arial" w:hAnsi="Arial"/>
          <w:sz w:val="16"/>
          <w:szCs w:val="16"/>
          <w:lang w:val="en-CA"/>
        </w:rPr>
        <w:t>,</w:t>
      </w:r>
      <w:r w:rsidR="005D0915">
        <w:rPr>
          <w:rFonts w:ascii="Arial" w:hAnsi="Arial"/>
          <w:sz w:val="16"/>
          <w:szCs w:val="16"/>
          <w:lang w:val="en-CA"/>
        </w:rPr>
        <w:t xml:space="preserve"> and heart disease</w:t>
      </w:r>
      <w:r w:rsidRPr="001C37E4">
        <w:rPr>
          <w:rFonts w:ascii="Arial" w:hAnsi="Arial"/>
          <w:sz w:val="16"/>
          <w:szCs w:val="16"/>
          <w:lang w:val="en-CA"/>
        </w:rPr>
        <w:t>. Subsequent scenarios (B to M) involved dropping factors one at a time in the order of least to most important, as identified during the ranking procedure.</w:t>
      </w:r>
    </w:p>
    <w:p w14:paraId="0E6F78BC" w14:textId="7275BEBB" w:rsidR="001C37E4" w:rsidRPr="001C37E4" w:rsidRDefault="001C37E4" w:rsidP="001C37E4">
      <w:pPr>
        <w:spacing w:after="240" w:line="240" w:lineRule="auto"/>
        <w:jc w:val="left"/>
        <w:rPr>
          <w:rFonts w:ascii="Arial" w:hAnsi="Arial"/>
          <w:sz w:val="16"/>
          <w:szCs w:val="16"/>
          <w:lang w:val="en-CA"/>
        </w:rPr>
      </w:pPr>
      <w:r w:rsidRPr="001C37E4">
        <w:rPr>
          <w:rFonts w:ascii="Arial" w:hAnsi="Arial"/>
          <w:sz w:val="16"/>
          <w:szCs w:val="16"/>
          <w:lang w:val="en-CA"/>
        </w:rPr>
        <w:t xml:space="preserve">Abbreviations: </w:t>
      </w:r>
      <w:r w:rsidR="00DA1043">
        <w:rPr>
          <w:rFonts w:ascii="Arial" w:hAnsi="Arial"/>
          <w:sz w:val="16"/>
          <w:szCs w:val="16"/>
          <w:lang w:val="en-CA"/>
        </w:rPr>
        <w:t xml:space="preserve">AF = atrial fibrillation; </w:t>
      </w:r>
      <w:r w:rsidR="00DA1043" w:rsidRPr="001C37E4">
        <w:rPr>
          <w:rFonts w:ascii="Arial" w:hAnsi="Arial"/>
          <w:sz w:val="16"/>
          <w:szCs w:val="16"/>
          <w:lang w:val="en-CA"/>
        </w:rPr>
        <w:t xml:space="preserve">CI = confidence interval; </w:t>
      </w:r>
      <w:r w:rsidR="00DA1043">
        <w:rPr>
          <w:rFonts w:ascii="Arial" w:hAnsi="Arial"/>
          <w:sz w:val="16"/>
          <w:szCs w:val="16"/>
          <w:lang w:val="en-CA"/>
        </w:rPr>
        <w:t>HR = hazard ratio; LA = left atria; LVEF = left ventricle ejection fraction</w:t>
      </w:r>
    </w:p>
    <w:p w14:paraId="64929350" w14:textId="77777777" w:rsidR="000E6B97" w:rsidRDefault="000E6B97">
      <w:pPr>
        <w:spacing w:after="160" w:line="259" w:lineRule="auto"/>
        <w:jc w:val="left"/>
        <w:rPr>
          <w:rFonts w:ascii="Arial" w:hAnsi="Arial"/>
          <w:b/>
          <w:bCs/>
          <w:sz w:val="20"/>
          <w:szCs w:val="20"/>
        </w:rPr>
      </w:pPr>
      <w:r>
        <w:rPr>
          <w:rFonts w:ascii="Arial" w:hAnsi="Arial"/>
          <w:b/>
          <w:bCs/>
          <w:sz w:val="20"/>
          <w:szCs w:val="20"/>
        </w:rPr>
        <w:br w:type="page"/>
      </w:r>
    </w:p>
    <w:p w14:paraId="657770E1" w14:textId="3A8A3EA8" w:rsidR="001C37E4" w:rsidRPr="001C37E4" w:rsidRDefault="001C37E4" w:rsidP="001C37E4">
      <w:pPr>
        <w:keepNext/>
        <w:spacing w:before="240" w:after="120" w:line="240" w:lineRule="auto"/>
        <w:rPr>
          <w:rFonts w:ascii="Arial" w:hAnsi="Arial"/>
          <w:b/>
          <w:bCs/>
          <w:sz w:val="20"/>
          <w:szCs w:val="20"/>
        </w:rPr>
      </w:pPr>
      <w:r w:rsidRPr="001C37E4">
        <w:rPr>
          <w:rFonts w:ascii="Arial" w:hAnsi="Arial"/>
          <w:b/>
          <w:bCs/>
          <w:sz w:val="20"/>
          <w:szCs w:val="20"/>
        </w:rPr>
        <w:lastRenderedPageBreak/>
        <w:t xml:space="preserve">Appendix 11: Forest plot of IPTW results for rhythm monitoring-adjusted recurrence scenario </w:t>
      </w:r>
    </w:p>
    <w:p w14:paraId="32324480" w14:textId="3BD38686" w:rsidR="001C37E4" w:rsidRPr="001C37E4" w:rsidRDefault="00C60D5B" w:rsidP="001C37E4">
      <w:pPr>
        <w:spacing w:after="120"/>
        <w:jc w:val="center"/>
        <w:rPr>
          <w:rFonts w:ascii="Arial" w:hAnsi="Arial"/>
          <w:lang w:val="en-CA"/>
        </w:rPr>
      </w:pPr>
      <w:r>
        <w:rPr>
          <w:noProof/>
        </w:rPr>
        <w:drawing>
          <wp:inline distT="0" distB="0" distL="0" distR="0" wp14:anchorId="3CDCA3B6" wp14:editId="5ADD3D93">
            <wp:extent cx="5943600" cy="252730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2527300"/>
                    </a:xfrm>
                    <a:prstGeom prst="rect">
                      <a:avLst/>
                    </a:prstGeom>
                  </pic:spPr>
                </pic:pic>
              </a:graphicData>
            </a:graphic>
          </wp:inline>
        </w:drawing>
      </w:r>
    </w:p>
    <w:p w14:paraId="03101340" w14:textId="0069EDDA" w:rsidR="00592EF2" w:rsidRPr="001C37E4" w:rsidRDefault="00592EF2" w:rsidP="00592EF2">
      <w:pPr>
        <w:spacing w:after="0" w:line="240" w:lineRule="auto"/>
        <w:jc w:val="left"/>
        <w:rPr>
          <w:rFonts w:ascii="Arial" w:hAnsi="Arial"/>
          <w:sz w:val="16"/>
          <w:szCs w:val="16"/>
          <w:lang w:val="en-CA"/>
        </w:rPr>
      </w:pPr>
      <w:r w:rsidRPr="001C37E4">
        <w:rPr>
          <w:rFonts w:ascii="Arial" w:hAnsi="Arial"/>
          <w:sz w:val="16"/>
          <w:szCs w:val="16"/>
          <w:lang w:val="en-CA"/>
        </w:rPr>
        <w:t>Scenario A adjusts for all available ranked factors; race (non-white),</w:t>
      </w:r>
      <w:r>
        <w:rPr>
          <w:rFonts w:ascii="Arial" w:hAnsi="Arial"/>
          <w:sz w:val="16"/>
          <w:szCs w:val="16"/>
          <w:lang w:val="en-CA"/>
        </w:rPr>
        <w:t xml:space="preserve"> hypertension, diabetes, age, left ventricular ejection fraction, </w:t>
      </w:r>
      <w:r w:rsidRPr="001C37E4">
        <w:rPr>
          <w:rFonts w:ascii="Arial" w:hAnsi="Arial"/>
          <w:sz w:val="16"/>
          <w:szCs w:val="16"/>
          <w:lang w:val="en-CA"/>
        </w:rPr>
        <w:t>thromboembolic event (composite),</w:t>
      </w:r>
      <w:r>
        <w:rPr>
          <w:rFonts w:ascii="Arial" w:hAnsi="Arial"/>
          <w:sz w:val="16"/>
          <w:szCs w:val="16"/>
          <w:lang w:val="en-CA"/>
        </w:rPr>
        <w:t xml:space="preserve"> duration of symptomatic AF in months, ablation within 1 year from enrollment, left atria diameter, other arrhythmia (composite), sex (female), ethnicity </w:t>
      </w:r>
      <w:r w:rsidRPr="001C37E4">
        <w:rPr>
          <w:rFonts w:ascii="Arial" w:hAnsi="Arial"/>
          <w:sz w:val="16"/>
          <w:szCs w:val="16"/>
          <w:lang w:val="en-CA"/>
        </w:rPr>
        <w:t>(Hispanic/Latino)</w:t>
      </w:r>
      <w:r w:rsidR="00571A88">
        <w:rPr>
          <w:rFonts w:ascii="Arial" w:hAnsi="Arial"/>
          <w:sz w:val="16"/>
          <w:szCs w:val="16"/>
          <w:lang w:val="en-CA"/>
        </w:rPr>
        <w:t>,</w:t>
      </w:r>
      <w:r>
        <w:rPr>
          <w:rFonts w:ascii="Arial" w:hAnsi="Arial"/>
          <w:sz w:val="16"/>
          <w:szCs w:val="16"/>
          <w:lang w:val="en-CA"/>
        </w:rPr>
        <w:t xml:space="preserve"> and heart disease</w:t>
      </w:r>
      <w:r w:rsidRPr="001C37E4">
        <w:rPr>
          <w:rFonts w:ascii="Arial" w:hAnsi="Arial"/>
          <w:sz w:val="16"/>
          <w:szCs w:val="16"/>
          <w:lang w:val="en-CA"/>
        </w:rPr>
        <w:t>. Subsequent scenarios (B to M) involved dropping factors one at a time in the order of least to most important, as identified during the ranking procedure.</w:t>
      </w:r>
    </w:p>
    <w:p w14:paraId="1CD83717" w14:textId="6301EFD5" w:rsidR="00796E32" w:rsidRPr="001C37E4" w:rsidRDefault="00DA1043" w:rsidP="000E6B97">
      <w:pPr>
        <w:spacing w:after="240" w:line="240" w:lineRule="auto"/>
        <w:jc w:val="left"/>
        <w:rPr>
          <w:rFonts w:ascii="Arial" w:hAnsi="Arial"/>
          <w:sz w:val="16"/>
          <w:szCs w:val="16"/>
          <w:lang w:val="en-CA"/>
        </w:rPr>
      </w:pPr>
      <w:r w:rsidRPr="001C37E4">
        <w:rPr>
          <w:rFonts w:ascii="Arial" w:hAnsi="Arial"/>
          <w:sz w:val="16"/>
          <w:szCs w:val="16"/>
          <w:lang w:val="en-CA"/>
        </w:rPr>
        <w:t xml:space="preserve">Abbreviations: </w:t>
      </w:r>
      <w:r>
        <w:rPr>
          <w:rFonts w:ascii="Arial" w:hAnsi="Arial"/>
          <w:sz w:val="16"/>
          <w:szCs w:val="16"/>
          <w:lang w:val="en-CA"/>
        </w:rPr>
        <w:t xml:space="preserve">AF = atrial fibrillation; </w:t>
      </w:r>
      <w:r w:rsidRPr="001C37E4">
        <w:rPr>
          <w:rFonts w:ascii="Arial" w:hAnsi="Arial"/>
          <w:sz w:val="16"/>
          <w:szCs w:val="16"/>
          <w:lang w:val="en-CA"/>
        </w:rPr>
        <w:t xml:space="preserve">CI = confidence interval; </w:t>
      </w:r>
      <w:r>
        <w:rPr>
          <w:rFonts w:ascii="Arial" w:hAnsi="Arial"/>
          <w:sz w:val="16"/>
          <w:szCs w:val="16"/>
          <w:lang w:val="en-CA"/>
        </w:rPr>
        <w:t>LA = left atria; LVEF = left ventricle ejection fraction; RR = rate ratio</w:t>
      </w:r>
    </w:p>
    <w:sectPr w:rsidR="00796E32" w:rsidRPr="001C37E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38D5"/>
    <w:multiLevelType w:val="multilevel"/>
    <w:tmpl w:val="0409001D"/>
    <w:styleLink w:val="TableBullet"/>
    <w:lvl w:ilvl="0">
      <w:start w:val="1"/>
      <w:numFmt w:val="bullet"/>
      <w:lvlText w:val="∎"/>
      <w:lvlJc w:val="left"/>
      <w:pPr>
        <w:ind w:left="360" w:hanging="360"/>
      </w:pPr>
      <w:rPr>
        <w:rFonts w:ascii="Cambria" w:hAnsi="Cambria" w:hint="default"/>
        <w:color w:val="auto"/>
        <w:sz w:val="18"/>
      </w:rPr>
    </w:lvl>
    <w:lvl w:ilvl="1">
      <w:start w:val="1"/>
      <w:numFmt w:val="bullet"/>
      <w:lvlText w:val="–"/>
      <w:lvlJc w:val="left"/>
      <w:pPr>
        <w:ind w:left="720" w:hanging="360"/>
      </w:pPr>
      <w:rPr>
        <w:rFonts w:ascii="Cambria" w:hAnsi="Cambria" w:hint="default"/>
        <w:sz w:val="18"/>
      </w:rPr>
    </w:lvl>
    <w:lvl w:ilvl="2">
      <w:start w:val="1"/>
      <w:numFmt w:val="bullet"/>
      <w:lvlText w:val="–"/>
      <w:lvlJc w:val="left"/>
      <w:pPr>
        <w:ind w:left="1080" w:hanging="360"/>
      </w:pPr>
      <w:rPr>
        <w:rFonts w:ascii="Cambria" w:hAnsi="Cambria" w:hint="default"/>
        <w:sz w:val="18"/>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11D7290"/>
    <w:multiLevelType w:val="hybridMultilevel"/>
    <w:tmpl w:val="A2840BE6"/>
    <w:lvl w:ilvl="0" w:tplc="7F3CAE16">
      <w:start w:val="1"/>
      <w:numFmt w:val="bullet"/>
      <w:lvlText w:val=""/>
      <w:lvlJc w:val="left"/>
      <w:pPr>
        <w:ind w:left="774" w:hanging="360"/>
      </w:pPr>
      <w:rPr>
        <w:rFonts w:ascii="Symbol" w:hAnsi="Symbol" w:hint="default"/>
      </w:rPr>
    </w:lvl>
    <w:lvl w:ilvl="1" w:tplc="10090003">
      <w:start w:val="1"/>
      <w:numFmt w:val="bullet"/>
      <w:lvlText w:val="o"/>
      <w:lvlJc w:val="left"/>
      <w:pPr>
        <w:ind w:left="1494" w:hanging="360"/>
      </w:pPr>
      <w:rPr>
        <w:rFonts w:ascii="Courier New" w:hAnsi="Courier New" w:cs="Courier New" w:hint="default"/>
      </w:rPr>
    </w:lvl>
    <w:lvl w:ilvl="2" w:tplc="10090005">
      <w:start w:val="1"/>
      <w:numFmt w:val="bullet"/>
      <w:lvlText w:val=""/>
      <w:lvlJc w:val="left"/>
      <w:pPr>
        <w:ind w:left="2214" w:hanging="360"/>
      </w:pPr>
      <w:rPr>
        <w:rFonts w:ascii="Wingdings" w:hAnsi="Wingdings" w:hint="default"/>
      </w:rPr>
    </w:lvl>
    <w:lvl w:ilvl="3" w:tplc="10090001">
      <w:start w:val="1"/>
      <w:numFmt w:val="bullet"/>
      <w:lvlText w:val=""/>
      <w:lvlJc w:val="left"/>
      <w:pPr>
        <w:ind w:left="2934" w:hanging="360"/>
      </w:pPr>
      <w:rPr>
        <w:rFonts w:ascii="Symbol" w:hAnsi="Symbol" w:hint="default"/>
      </w:rPr>
    </w:lvl>
    <w:lvl w:ilvl="4" w:tplc="10090003">
      <w:start w:val="1"/>
      <w:numFmt w:val="bullet"/>
      <w:lvlText w:val="o"/>
      <w:lvlJc w:val="left"/>
      <w:pPr>
        <w:ind w:left="3654" w:hanging="360"/>
      </w:pPr>
      <w:rPr>
        <w:rFonts w:ascii="Courier New" w:hAnsi="Courier New" w:cs="Courier New" w:hint="default"/>
      </w:rPr>
    </w:lvl>
    <w:lvl w:ilvl="5" w:tplc="10090005">
      <w:start w:val="1"/>
      <w:numFmt w:val="bullet"/>
      <w:lvlText w:val=""/>
      <w:lvlJc w:val="left"/>
      <w:pPr>
        <w:ind w:left="4374" w:hanging="360"/>
      </w:pPr>
      <w:rPr>
        <w:rFonts w:ascii="Wingdings" w:hAnsi="Wingdings" w:hint="default"/>
      </w:rPr>
    </w:lvl>
    <w:lvl w:ilvl="6" w:tplc="10090001">
      <w:start w:val="1"/>
      <w:numFmt w:val="bullet"/>
      <w:lvlText w:val=""/>
      <w:lvlJc w:val="left"/>
      <w:pPr>
        <w:ind w:left="5094" w:hanging="360"/>
      </w:pPr>
      <w:rPr>
        <w:rFonts w:ascii="Symbol" w:hAnsi="Symbol" w:hint="default"/>
      </w:rPr>
    </w:lvl>
    <w:lvl w:ilvl="7" w:tplc="10090003" w:tentative="1">
      <w:start w:val="1"/>
      <w:numFmt w:val="bullet"/>
      <w:lvlText w:val="o"/>
      <w:lvlJc w:val="left"/>
      <w:pPr>
        <w:ind w:left="5814" w:hanging="360"/>
      </w:pPr>
      <w:rPr>
        <w:rFonts w:ascii="Courier New" w:hAnsi="Courier New" w:cs="Courier New" w:hint="default"/>
      </w:rPr>
    </w:lvl>
    <w:lvl w:ilvl="8" w:tplc="10090005" w:tentative="1">
      <w:start w:val="1"/>
      <w:numFmt w:val="bullet"/>
      <w:lvlText w:val=""/>
      <w:lvlJc w:val="left"/>
      <w:pPr>
        <w:ind w:left="6534" w:hanging="360"/>
      </w:pPr>
      <w:rPr>
        <w:rFonts w:ascii="Wingdings" w:hAnsi="Wingdings" w:hint="default"/>
      </w:rPr>
    </w:lvl>
  </w:abstractNum>
  <w:abstractNum w:abstractNumId="2" w15:restartNumberingAfterBreak="0">
    <w:nsid w:val="034B714F"/>
    <w:multiLevelType w:val="hybridMultilevel"/>
    <w:tmpl w:val="7BC80E6E"/>
    <w:lvl w:ilvl="0" w:tplc="BC86152E">
      <w:start w:val="1"/>
      <w:numFmt w:val="bullet"/>
      <w:pStyle w:val="ListParagraph"/>
      <w:lvlText w:val=""/>
      <w:lvlJc w:val="left"/>
      <w:pPr>
        <w:ind w:left="1134" w:hanging="360"/>
      </w:pPr>
      <w:rPr>
        <w:rFonts w:ascii="Symbol" w:hAnsi="Symbol" w:hint="default"/>
      </w:rPr>
    </w:lvl>
    <w:lvl w:ilvl="1" w:tplc="10090003" w:tentative="1">
      <w:start w:val="1"/>
      <w:numFmt w:val="bullet"/>
      <w:lvlText w:val="o"/>
      <w:lvlJc w:val="left"/>
      <w:pPr>
        <w:ind w:left="1854" w:hanging="360"/>
      </w:pPr>
      <w:rPr>
        <w:rFonts w:ascii="Courier New" w:hAnsi="Courier New" w:cs="Courier New" w:hint="default"/>
      </w:rPr>
    </w:lvl>
    <w:lvl w:ilvl="2" w:tplc="10090005" w:tentative="1">
      <w:start w:val="1"/>
      <w:numFmt w:val="bullet"/>
      <w:lvlText w:val=""/>
      <w:lvlJc w:val="left"/>
      <w:pPr>
        <w:ind w:left="2574" w:hanging="360"/>
      </w:pPr>
      <w:rPr>
        <w:rFonts w:ascii="Wingdings" w:hAnsi="Wingdings" w:hint="default"/>
      </w:rPr>
    </w:lvl>
    <w:lvl w:ilvl="3" w:tplc="10090001" w:tentative="1">
      <w:start w:val="1"/>
      <w:numFmt w:val="bullet"/>
      <w:lvlText w:val=""/>
      <w:lvlJc w:val="left"/>
      <w:pPr>
        <w:ind w:left="3294" w:hanging="360"/>
      </w:pPr>
      <w:rPr>
        <w:rFonts w:ascii="Symbol" w:hAnsi="Symbol" w:hint="default"/>
      </w:rPr>
    </w:lvl>
    <w:lvl w:ilvl="4" w:tplc="10090003" w:tentative="1">
      <w:start w:val="1"/>
      <w:numFmt w:val="bullet"/>
      <w:lvlText w:val="o"/>
      <w:lvlJc w:val="left"/>
      <w:pPr>
        <w:ind w:left="4014" w:hanging="360"/>
      </w:pPr>
      <w:rPr>
        <w:rFonts w:ascii="Courier New" w:hAnsi="Courier New" w:cs="Courier New" w:hint="default"/>
      </w:rPr>
    </w:lvl>
    <w:lvl w:ilvl="5" w:tplc="10090005" w:tentative="1">
      <w:start w:val="1"/>
      <w:numFmt w:val="bullet"/>
      <w:lvlText w:val=""/>
      <w:lvlJc w:val="left"/>
      <w:pPr>
        <w:ind w:left="4734" w:hanging="360"/>
      </w:pPr>
      <w:rPr>
        <w:rFonts w:ascii="Wingdings" w:hAnsi="Wingdings" w:hint="default"/>
      </w:rPr>
    </w:lvl>
    <w:lvl w:ilvl="6" w:tplc="10090001" w:tentative="1">
      <w:start w:val="1"/>
      <w:numFmt w:val="bullet"/>
      <w:lvlText w:val=""/>
      <w:lvlJc w:val="left"/>
      <w:pPr>
        <w:ind w:left="5454" w:hanging="360"/>
      </w:pPr>
      <w:rPr>
        <w:rFonts w:ascii="Symbol" w:hAnsi="Symbol" w:hint="default"/>
      </w:rPr>
    </w:lvl>
    <w:lvl w:ilvl="7" w:tplc="10090003" w:tentative="1">
      <w:start w:val="1"/>
      <w:numFmt w:val="bullet"/>
      <w:lvlText w:val="o"/>
      <w:lvlJc w:val="left"/>
      <w:pPr>
        <w:ind w:left="6174" w:hanging="360"/>
      </w:pPr>
      <w:rPr>
        <w:rFonts w:ascii="Courier New" w:hAnsi="Courier New" w:cs="Courier New" w:hint="default"/>
      </w:rPr>
    </w:lvl>
    <w:lvl w:ilvl="8" w:tplc="10090005" w:tentative="1">
      <w:start w:val="1"/>
      <w:numFmt w:val="bullet"/>
      <w:lvlText w:val=""/>
      <w:lvlJc w:val="left"/>
      <w:pPr>
        <w:ind w:left="6894" w:hanging="360"/>
      </w:pPr>
      <w:rPr>
        <w:rFonts w:ascii="Wingdings" w:hAnsi="Wingdings" w:hint="default"/>
      </w:rPr>
    </w:lvl>
  </w:abstractNum>
  <w:abstractNum w:abstractNumId="3" w15:restartNumberingAfterBreak="0">
    <w:nsid w:val="099B39E6"/>
    <w:multiLevelType w:val="hybridMultilevel"/>
    <w:tmpl w:val="BD90D3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36344E"/>
    <w:multiLevelType w:val="multilevel"/>
    <w:tmpl w:val="0409001D"/>
    <w:styleLink w:val="TableBullets"/>
    <w:lvl w:ilvl="0">
      <w:start w:val="1"/>
      <w:numFmt w:val="bullet"/>
      <w:lvlText w:val=""/>
      <w:lvlJc w:val="left"/>
      <w:pPr>
        <w:ind w:left="360" w:hanging="360"/>
      </w:pPr>
      <w:rPr>
        <w:rFonts w:ascii="Symbol" w:hAnsi="Symbol" w:hint="default"/>
        <w:color w:val="auto"/>
        <w:sz w:val="18"/>
      </w:rPr>
    </w:lvl>
    <w:lvl w:ilvl="1">
      <w:start w:val="1"/>
      <w:numFmt w:val="bullet"/>
      <w:lvlText w:val="–"/>
      <w:lvlJc w:val="left"/>
      <w:pPr>
        <w:ind w:left="720" w:hanging="360"/>
      </w:pPr>
      <w:rPr>
        <w:rFonts w:asciiTheme="minorHAnsi" w:hAnsiTheme="minorHAnsi" w:hint="default"/>
        <w:color w:val="auto"/>
        <w:sz w:val="18"/>
      </w:rPr>
    </w:lvl>
    <w:lvl w:ilvl="2">
      <w:start w:val="1"/>
      <w:numFmt w:val="bullet"/>
      <w:lvlText w:val="–"/>
      <w:lvlJc w:val="left"/>
      <w:pPr>
        <w:ind w:left="1080" w:hanging="360"/>
      </w:pPr>
      <w:rPr>
        <w:rFonts w:asciiTheme="minorHAnsi" w:hAnsiTheme="minorHAnsi" w:hint="default"/>
        <w:color w:val="auto"/>
        <w:sz w:val="18"/>
      </w:rPr>
    </w:lvl>
    <w:lvl w:ilvl="3">
      <w:start w:val="1"/>
      <w:numFmt w:val="bullet"/>
      <w:lvlText w:val="–"/>
      <w:lvlJc w:val="left"/>
      <w:pPr>
        <w:ind w:left="1440" w:hanging="360"/>
      </w:pPr>
      <w:rPr>
        <w:rFonts w:asciiTheme="minorHAnsi" w:hAnsiTheme="minorHAnsi" w:hint="default"/>
        <w:color w:val="auto"/>
        <w:sz w:val="18"/>
      </w:rPr>
    </w:lvl>
    <w:lvl w:ilvl="4">
      <w:start w:val="1"/>
      <w:numFmt w:val="bullet"/>
      <w:lvlText w:val="–"/>
      <w:lvlJc w:val="left"/>
      <w:pPr>
        <w:ind w:left="1800" w:hanging="360"/>
      </w:pPr>
      <w:rPr>
        <w:rFonts w:asciiTheme="minorHAnsi" w:hAnsiTheme="minorHAnsi" w:cs="Times New Roman" w:hint="default"/>
        <w:color w:val="auto"/>
        <w:sz w:val="18"/>
      </w:rPr>
    </w:lvl>
    <w:lvl w:ilvl="5">
      <w:start w:val="1"/>
      <w:numFmt w:val="bullet"/>
      <w:lvlText w:val="–"/>
      <w:lvlJc w:val="left"/>
      <w:pPr>
        <w:ind w:left="2160" w:hanging="360"/>
      </w:pPr>
      <w:rPr>
        <w:rFonts w:asciiTheme="minorHAnsi" w:hAnsiTheme="minorHAnsi" w:cs="Times New Roman" w:hint="default"/>
        <w:color w:val="auto"/>
        <w:sz w:val="18"/>
      </w:rPr>
    </w:lvl>
    <w:lvl w:ilvl="6">
      <w:start w:val="1"/>
      <w:numFmt w:val="bullet"/>
      <w:lvlText w:val="–"/>
      <w:lvlJc w:val="left"/>
      <w:pPr>
        <w:ind w:left="2520" w:hanging="360"/>
      </w:pPr>
      <w:rPr>
        <w:rFonts w:asciiTheme="minorHAnsi" w:hAnsiTheme="minorHAnsi" w:cs="Times New Roman" w:hint="default"/>
        <w:color w:val="auto"/>
        <w:sz w:val="18"/>
      </w:rPr>
    </w:lvl>
    <w:lvl w:ilvl="7">
      <w:start w:val="1"/>
      <w:numFmt w:val="bullet"/>
      <w:lvlText w:val="–"/>
      <w:lvlJc w:val="left"/>
      <w:pPr>
        <w:ind w:left="2880" w:hanging="360"/>
      </w:pPr>
      <w:rPr>
        <w:rFonts w:asciiTheme="minorHAnsi" w:hAnsiTheme="minorHAnsi" w:cs="Times New Roman" w:hint="default"/>
        <w:color w:val="auto"/>
        <w:sz w:val="18"/>
      </w:rPr>
    </w:lvl>
    <w:lvl w:ilvl="8">
      <w:start w:val="1"/>
      <w:numFmt w:val="bullet"/>
      <w:lvlText w:val="–"/>
      <w:lvlJc w:val="left"/>
      <w:pPr>
        <w:ind w:left="3240" w:hanging="360"/>
      </w:pPr>
      <w:rPr>
        <w:rFonts w:asciiTheme="minorHAnsi" w:hAnsiTheme="minorHAnsi" w:cs="Times New Roman" w:hint="default"/>
        <w:color w:val="auto"/>
        <w:sz w:val="18"/>
      </w:rPr>
    </w:lvl>
  </w:abstractNum>
  <w:abstractNum w:abstractNumId="5" w15:restartNumberingAfterBreak="0">
    <w:nsid w:val="1C4C3406"/>
    <w:multiLevelType w:val="hybridMultilevel"/>
    <w:tmpl w:val="A920B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3F0096"/>
    <w:multiLevelType w:val="hybridMultilevel"/>
    <w:tmpl w:val="9802F8D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45C20B2"/>
    <w:multiLevelType w:val="multilevel"/>
    <w:tmpl w:val="24227872"/>
    <w:lvl w:ilvl="0">
      <w:start w:val="1"/>
      <w:numFmt w:val="decimal"/>
      <w:lvlText w:val="%1.0"/>
      <w:lvlJc w:val="left"/>
      <w:pPr>
        <w:ind w:left="964" w:hanging="964"/>
      </w:pPr>
      <w:rPr>
        <w:rFonts w:hint="default"/>
        <w:color w:val="auto"/>
      </w:rPr>
    </w:lvl>
    <w:lvl w:ilvl="1">
      <w:start w:val="1"/>
      <w:numFmt w:val="decimal"/>
      <w:lvlText w:val="%1.%2"/>
      <w:lvlJc w:val="left"/>
      <w:pPr>
        <w:ind w:left="964" w:hanging="964"/>
      </w:pPr>
      <w:rPr>
        <w:rFonts w:hint="default"/>
      </w:rPr>
    </w:lvl>
    <w:lvl w:ilvl="2">
      <w:start w:val="1"/>
      <w:numFmt w:val="decimal"/>
      <w:lvlText w:val="%1.%2.%3"/>
      <w:lvlJc w:val="left"/>
      <w:pPr>
        <w:ind w:left="1361" w:hanging="1361"/>
      </w:pPr>
      <w:rPr>
        <w:rFonts w:hint="default"/>
      </w:rPr>
    </w:lvl>
    <w:lvl w:ilvl="3">
      <w:start w:val="1"/>
      <w:numFmt w:val="decimal"/>
      <w:pStyle w:val="Heading4"/>
      <w:lvlText w:val="%1.%2.%3.%4"/>
      <w:lvlJc w:val="left"/>
      <w:pPr>
        <w:ind w:left="1814" w:hanging="1814"/>
      </w:pPr>
      <w:rPr>
        <w:rFonts w:hint="default"/>
      </w:rPr>
    </w:lvl>
    <w:lvl w:ilvl="4">
      <w:start w:val="1"/>
      <w:numFmt w:val="decimal"/>
      <w:pStyle w:val="Heading5"/>
      <w:lvlText w:val="%1.%2.%3.%4.%5"/>
      <w:lvlJc w:val="left"/>
      <w:pPr>
        <w:ind w:left="2268" w:hanging="2268"/>
      </w:pPr>
      <w:rPr>
        <w:rFonts w:hint="default"/>
      </w:rPr>
    </w:lvl>
    <w:lvl w:ilvl="5">
      <w:start w:val="1"/>
      <w:numFmt w:val="decimal"/>
      <w:lvlText w:val="%1.%2.%3.%4.%5.%6"/>
      <w:lvlJc w:val="left"/>
      <w:pPr>
        <w:ind w:left="2608" w:hanging="2608"/>
      </w:pPr>
      <w:rPr>
        <w:rFonts w:hint="default"/>
      </w:rPr>
    </w:lvl>
    <w:lvl w:ilvl="6">
      <w:start w:val="1"/>
      <w:numFmt w:val="decimal"/>
      <w:lvlText w:val="%1.%2.%3.%4.%5.%6.%7"/>
      <w:lvlJc w:val="left"/>
      <w:pPr>
        <w:ind w:left="3062" w:hanging="3062"/>
      </w:pPr>
      <w:rPr>
        <w:rFonts w:hint="default"/>
      </w:rPr>
    </w:lvl>
    <w:lvl w:ilvl="7">
      <w:start w:val="1"/>
      <w:numFmt w:val="decimal"/>
      <w:lvlText w:val="%1.%2.%3.%4.%5.%6.%7.%8"/>
      <w:lvlJc w:val="left"/>
      <w:pPr>
        <w:ind w:left="3515" w:hanging="3515"/>
      </w:pPr>
      <w:rPr>
        <w:rFonts w:hint="default"/>
      </w:rPr>
    </w:lvl>
    <w:lvl w:ilvl="8">
      <w:start w:val="1"/>
      <w:numFmt w:val="decimal"/>
      <w:lvlText w:val="%1.%2.%3.%4.%5.%6.%7.%8.%9"/>
      <w:lvlJc w:val="left"/>
      <w:pPr>
        <w:ind w:left="3912" w:hanging="3912"/>
      </w:pPr>
      <w:rPr>
        <w:rFonts w:hint="default"/>
      </w:rPr>
    </w:lvl>
  </w:abstractNum>
  <w:abstractNum w:abstractNumId="8" w15:restartNumberingAfterBreak="0">
    <w:nsid w:val="28F4636E"/>
    <w:multiLevelType w:val="hybridMultilevel"/>
    <w:tmpl w:val="8BF009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414BCB"/>
    <w:multiLevelType w:val="hybridMultilevel"/>
    <w:tmpl w:val="2DA20D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D571B12"/>
    <w:multiLevelType w:val="hybridMultilevel"/>
    <w:tmpl w:val="6CF685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0FB5560"/>
    <w:multiLevelType w:val="hybridMultilevel"/>
    <w:tmpl w:val="253E35F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377D0667"/>
    <w:multiLevelType w:val="multilevel"/>
    <w:tmpl w:val="D0865F30"/>
    <w:lvl w:ilvl="0">
      <w:start w:val="1"/>
      <w:numFmt w:val="bullet"/>
      <w:lvlText w:val=""/>
      <w:lvlJc w:val="left"/>
      <w:pPr>
        <w:ind w:left="144" w:hanging="144"/>
      </w:pPr>
      <w:rPr>
        <w:rFonts w:ascii="Symbol" w:hAnsi="Symbol" w:hint="default"/>
        <w:color w:val="auto"/>
        <w:sz w:val="18"/>
      </w:rPr>
    </w:lvl>
    <w:lvl w:ilvl="1">
      <w:start w:val="1"/>
      <w:numFmt w:val="bullet"/>
      <w:lvlText w:val="–"/>
      <w:lvlJc w:val="left"/>
      <w:pPr>
        <w:ind w:left="504" w:hanging="144"/>
      </w:pPr>
      <w:rPr>
        <w:rFonts w:ascii="Times New Roman" w:hAnsi="Times New Roman" w:cs="Times New Roman" w:hint="default"/>
        <w:color w:val="auto"/>
        <w:sz w:val="18"/>
      </w:rPr>
    </w:lvl>
    <w:lvl w:ilvl="2">
      <w:start w:val="1"/>
      <w:numFmt w:val="bullet"/>
      <w:lvlText w:val="–"/>
      <w:lvlJc w:val="left"/>
      <w:pPr>
        <w:ind w:left="864" w:hanging="144"/>
      </w:pPr>
      <w:rPr>
        <w:rFonts w:ascii="Times New Roman" w:hAnsi="Times New Roman" w:cs="Times New Roman" w:hint="default"/>
        <w:color w:val="auto"/>
        <w:sz w:val="18"/>
      </w:rPr>
    </w:lvl>
    <w:lvl w:ilvl="3">
      <w:start w:val="1"/>
      <w:numFmt w:val="bullet"/>
      <w:lvlText w:val="–"/>
      <w:lvlJc w:val="left"/>
      <w:pPr>
        <w:ind w:left="1224" w:hanging="144"/>
      </w:pPr>
      <w:rPr>
        <w:rFonts w:asciiTheme="minorHAnsi" w:hAnsiTheme="minorHAnsi" w:hint="default"/>
        <w:color w:val="auto"/>
        <w:sz w:val="18"/>
      </w:rPr>
    </w:lvl>
    <w:lvl w:ilvl="4">
      <w:start w:val="1"/>
      <w:numFmt w:val="bullet"/>
      <w:lvlText w:val="–"/>
      <w:lvlJc w:val="left"/>
      <w:pPr>
        <w:ind w:left="1584" w:hanging="144"/>
      </w:pPr>
      <w:rPr>
        <w:rFonts w:asciiTheme="minorHAnsi" w:hAnsiTheme="minorHAnsi" w:cs="Times New Roman" w:hint="default"/>
        <w:color w:val="auto"/>
        <w:sz w:val="18"/>
      </w:rPr>
    </w:lvl>
    <w:lvl w:ilvl="5">
      <w:start w:val="1"/>
      <w:numFmt w:val="bullet"/>
      <w:lvlText w:val="–"/>
      <w:lvlJc w:val="left"/>
      <w:pPr>
        <w:ind w:left="1944" w:hanging="144"/>
      </w:pPr>
      <w:rPr>
        <w:rFonts w:asciiTheme="minorHAnsi" w:hAnsiTheme="minorHAnsi" w:cs="Times New Roman" w:hint="default"/>
        <w:color w:val="auto"/>
        <w:sz w:val="18"/>
      </w:rPr>
    </w:lvl>
    <w:lvl w:ilvl="6">
      <w:start w:val="1"/>
      <w:numFmt w:val="bullet"/>
      <w:lvlText w:val="–"/>
      <w:lvlJc w:val="left"/>
      <w:pPr>
        <w:ind w:left="2304" w:hanging="144"/>
      </w:pPr>
      <w:rPr>
        <w:rFonts w:asciiTheme="minorHAnsi" w:hAnsiTheme="minorHAnsi" w:cs="Times New Roman" w:hint="default"/>
        <w:color w:val="auto"/>
        <w:sz w:val="18"/>
      </w:rPr>
    </w:lvl>
    <w:lvl w:ilvl="7">
      <w:start w:val="1"/>
      <w:numFmt w:val="bullet"/>
      <w:lvlText w:val="–"/>
      <w:lvlJc w:val="left"/>
      <w:pPr>
        <w:ind w:left="2664" w:hanging="144"/>
      </w:pPr>
      <w:rPr>
        <w:rFonts w:asciiTheme="minorHAnsi" w:hAnsiTheme="minorHAnsi" w:cs="Times New Roman" w:hint="default"/>
        <w:color w:val="auto"/>
        <w:sz w:val="18"/>
      </w:rPr>
    </w:lvl>
    <w:lvl w:ilvl="8">
      <w:start w:val="1"/>
      <w:numFmt w:val="bullet"/>
      <w:lvlText w:val="–"/>
      <w:lvlJc w:val="left"/>
      <w:pPr>
        <w:ind w:left="3024" w:hanging="144"/>
      </w:pPr>
      <w:rPr>
        <w:rFonts w:asciiTheme="minorHAnsi" w:hAnsiTheme="minorHAnsi" w:cs="Times New Roman" w:hint="default"/>
        <w:color w:val="auto"/>
        <w:sz w:val="18"/>
      </w:rPr>
    </w:lvl>
  </w:abstractNum>
  <w:abstractNum w:abstractNumId="13" w15:restartNumberingAfterBreak="0">
    <w:nsid w:val="38FD78DC"/>
    <w:multiLevelType w:val="multilevel"/>
    <w:tmpl w:val="82CC3838"/>
    <w:lvl w:ilvl="0">
      <w:start w:val="1"/>
      <w:numFmt w:val="bullet"/>
      <w:pStyle w:val="TableListParagraph"/>
      <w:lvlText w:val=""/>
      <w:lvlJc w:val="left"/>
      <w:pPr>
        <w:ind w:left="360" w:hanging="36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39CE5B8C"/>
    <w:multiLevelType w:val="hybridMultilevel"/>
    <w:tmpl w:val="90C0A8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673507"/>
    <w:multiLevelType w:val="hybridMultilevel"/>
    <w:tmpl w:val="35C419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F5A263D"/>
    <w:multiLevelType w:val="hybridMultilevel"/>
    <w:tmpl w:val="4DAE977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15:restartNumberingAfterBreak="0">
    <w:nsid w:val="446C1D23"/>
    <w:multiLevelType w:val="hybridMultilevel"/>
    <w:tmpl w:val="BF802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90560C8"/>
    <w:multiLevelType w:val="hybridMultilevel"/>
    <w:tmpl w:val="4A448A1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9537C84"/>
    <w:multiLevelType w:val="hybridMultilevel"/>
    <w:tmpl w:val="4FB2C2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97D6917"/>
    <w:multiLevelType w:val="hybridMultilevel"/>
    <w:tmpl w:val="A7CA92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F4823B6"/>
    <w:multiLevelType w:val="hybridMultilevel"/>
    <w:tmpl w:val="0EC87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1007DEB"/>
    <w:multiLevelType w:val="hybridMultilevel"/>
    <w:tmpl w:val="EBEC56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479496E"/>
    <w:multiLevelType w:val="hybridMultilevel"/>
    <w:tmpl w:val="C11493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C710B50"/>
    <w:multiLevelType w:val="hybridMultilevel"/>
    <w:tmpl w:val="80BC52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E1E41B3"/>
    <w:multiLevelType w:val="hybridMultilevel"/>
    <w:tmpl w:val="27D80E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EC00095"/>
    <w:multiLevelType w:val="multilevel"/>
    <w:tmpl w:val="AFCC9D12"/>
    <w:lvl w:ilvl="0">
      <w:start w:val="1"/>
      <w:numFmt w:val="upperLetter"/>
      <w:pStyle w:val="Appendix11"/>
      <w:lvlText w:val="Appendix %1"/>
      <w:lvlJc w:val="left"/>
      <w:pPr>
        <w:ind w:left="964" w:hanging="964"/>
      </w:pPr>
      <w:rPr>
        <w:rFonts w:hint="default"/>
        <w:color w:val="auto"/>
      </w:rPr>
    </w:lvl>
    <w:lvl w:ilvl="1">
      <w:start w:val="1"/>
      <w:numFmt w:val="decimal"/>
      <w:pStyle w:val="Heading7"/>
      <w:lvlText w:val="%1.%2"/>
      <w:lvlJc w:val="left"/>
      <w:pPr>
        <w:ind w:left="964" w:hanging="964"/>
      </w:pPr>
      <w:rPr>
        <w:rFonts w:hint="default"/>
      </w:rPr>
    </w:lvl>
    <w:lvl w:ilvl="2">
      <w:start w:val="1"/>
      <w:numFmt w:val="decimal"/>
      <w:pStyle w:val="Heading8"/>
      <w:lvlText w:val="%1.%2.%3"/>
      <w:lvlJc w:val="left"/>
      <w:pPr>
        <w:ind w:left="1361" w:hanging="1361"/>
      </w:pPr>
      <w:rPr>
        <w:rFonts w:hint="default"/>
      </w:rPr>
    </w:lvl>
    <w:lvl w:ilvl="3">
      <w:start w:val="1"/>
      <w:numFmt w:val="decimal"/>
      <w:pStyle w:val="Heading9"/>
      <w:lvlText w:val="%1.%2.%3.%4"/>
      <w:lvlJc w:val="left"/>
      <w:pPr>
        <w:ind w:left="1814" w:hanging="1814"/>
      </w:pPr>
      <w:rPr>
        <w:rFonts w:hint="default"/>
      </w:rPr>
    </w:lvl>
    <w:lvl w:ilvl="4">
      <w:start w:val="1"/>
      <w:numFmt w:val="decimal"/>
      <w:lvlText w:val="%1.%2.%3.%4.%5"/>
      <w:lvlJc w:val="left"/>
      <w:pPr>
        <w:ind w:left="2268" w:hanging="2268"/>
      </w:pPr>
      <w:rPr>
        <w:rFonts w:hint="default"/>
      </w:rPr>
    </w:lvl>
    <w:lvl w:ilvl="5">
      <w:start w:val="1"/>
      <w:numFmt w:val="decimal"/>
      <w:lvlText w:val="%1.%2.%3.%4.%5.%6"/>
      <w:lvlJc w:val="left"/>
      <w:pPr>
        <w:ind w:left="2608" w:hanging="2608"/>
      </w:pPr>
      <w:rPr>
        <w:rFonts w:hint="default"/>
      </w:rPr>
    </w:lvl>
    <w:lvl w:ilvl="6">
      <w:start w:val="1"/>
      <w:numFmt w:val="decimal"/>
      <w:lvlText w:val="%1.%2.%3.%4.%5.%6.%7"/>
      <w:lvlJc w:val="left"/>
      <w:pPr>
        <w:ind w:left="3062" w:hanging="3062"/>
      </w:pPr>
      <w:rPr>
        <w:rFonts w:hint="default"/>
      </w:rPr>
    </w:lvl>
    <w:lvl w:ilvl="7">
      <w:start w:val="1"/>
      <w:numFmt w:val="decimal"/>
      <w:lvlText w:val="%1.%2.%3.%4.%5.%6.%7.%8"/>
      <w:lvlJc w:val="left"/>
      <w:pPr>
        <w:ind w:left="3515" w:hanging="3515"/>
      </w:pPr>
      <w:rPr>
        <w:rFonts w:hint="default"/>
      </w:rPr>
    </w:lvl>
    <w:lvl w:ilvl="8">
      <w:start w:val="1"/>
      <w:numFmt w:val="decimal"/>
      <w:lvlText w:val="%1.%2.%3.%4.%5.%6.%7.%8.%9"/>
      <w:lvlJc w:val="left"/>
      <w:pPr>
        <w:ind w:left="3912" w:hanging="3912"/>
      </w:pPr>
      <w:rPr>
        <w:rFonts w:hint="default"/>
      </w:rPr>
    </w:lvl>
  </w:abstractNum>
  <w:abstractNum w:abstractNumId="27" w15:restartNumberingAfterBreak="0">
    <w:nsid w:val="734D3287"/>
    <w:multiLevelType w:val="hybridMultilevel"/>
    <w:tmpl w:val="37F86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3596F0A"/>
    <w:multiLevelType w:val="hybridMultilevel"/>
    <w:tmpl w:val="BE1CC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5F46E51"/>
    <w:multiLevelType w:val="hybridMultilevel"/>
    <w:tmpl w:val="B1BE3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9A86F6A"/>
    <w:multiLevelType w:val="hybridMultilevel"/>
    <w:tmpl w:val="83AE46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CCA1A81"/>
    <w:multiLevelType w:val="hybridMultilevel"/>
    <w:tmpl w:val="9D80B6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31977788">
    <w:abstractNumId w:val="0"/>
  </w:num>
  <w:num w:numId="2" w16cid:durableId="1054426690">
    <w:abstractNumId w:val="4"/>
  </w:num>
  <w:num w:numId="3" w16cid:durableId="525219476">
    <w:abstractNumId w:val="7"/>
  </w:num>
  <w:num w:numId="4" w16cid:durableId="421999566">
    <w:abstractNumId w:val="26"/>
  </w:num>
  <w:num w:numId="5" w16cid:durableId="177080663">
    <w:abstractNumId w:val="1"/>
  </w:num>
  <w:num w:numId="6" w16cid:durableId="631207558">
    <w:abstractNumId w:val="12"/>
  </w:num>
  <w:num w:numId="7" w16cid:durableId="1936936275">
    <w:abstractNumId w:val="13"/>
  </w:num>
  <w:num w:numId="8" w16cid:durableId="146669956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12157911">
    <w:abstractNumId w:val="2"/>
  </w:num>
  <w:num w:numId="10" w16cid:durableId="1747874919">
    <w:abstractNumId w:val="11"/>
  </w:num>
  <w:num w:numId="11" w16cid:durableId="817108617">
    <w:abstractNumId w:val="16"/>
  </w:num>
  <w:num w:numId="12" w16cid:durableId="1958752562">
    <w:abstractNumId w:val="9"/>
  </w:num>
  <w:num w:numId="13" w16cid:durableId="251742236">
    <w:abstractNumId w:val="15"/>
  </w:num>
  <w:num w:numId="14" w16cid:durableId="1465543397">
    <w:abstractNumId w:val="24"/>
  </w:num>
  <w:num w:numId="15" w16cid:durableId="855461091">
    <w:abstractNumId w:val="17"/>
  </w:num>
  <w:num w:numId="16" w16cid:durableId="2133668451">
    <w:abstractNumId w:val="29"/>
  </w:num>
  <w:num w:numId="17" w16cid:durableId="1886675118">
    <w:abstractNumId w:val="27"/>
  </w:num>
  <w:num w:numId="18" w16cid:durableId="801272946">
    <w:abstractNumId w:val="28"/>
  </w:num>
  <w:num w:numId="19" w16cid:durableId="1090617065">
    <w:abstractNumId w:val="23"/>
  </w:num>
  <w:num w:numId="20" w16cid:durableId="1027562206">
    <w:abstractNumId w:val="19"/>
  </w:num>
  <w:num w:numId="21" w16cid:durableId="112137398">
    <w:abstractNumId w:val="21"/>
  </w:num>
  <w:num w:numId="22" w16cid:durableId="1142699870">
    <w:abstractNumId w:val="30"/>
  </w:num>
  <w:num w:numId="23" w16cid:durableId="228076560">
    <w:abstractNumId w:val="6"/>
  </w:num>
  <w:num w:numId="24" w16cid:durableId="1930598">
    <w:abstractNumId w:val="8"/>
  </w:num>
  <w:num w:numId="25" w16cid:durableId="1231229479">
    <w:abstractNumId w:val="5"/>
  </w:num>
  <w:num w:numId="26" w16cid:durableId="162866895">
    <w:abstractNumId w:val="20"/>
  </w:num>
  <w:num w:numId="27" w16cid:durableId="914359579">
    <w:abstractNumId w:val="25"/>
  </w:num>
  <w:num w:numId="28" w16cid:durableId="920525535">
    <w:abstractNumId w:val="18"/>
  </w:num>
  <w:num w:numId="29" w16cid:durableId="1983729312">
    <w:abstractNumId w:val="31"/>
  </w:num>
  <w:num w:numId="30" w16cid:durableId="1967195642">
    <w:abstractNumId w:val="10"/>
  </w:num>
  <w:num w:numId="31" w16cid:durableId="670331363">
    <w:abstractNumId w:val="14"/>
  </w:num>
  <w:num w:numId="32" w16cid:durableId="1504205872">
    <w:abstractNumId w:val="3"/>
  </w:num>
  <w:num w:numId="33" w16cid:durableId="52633427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numFmt w:val="lowerRoman"/>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37E4"/>
    <w:rsid w:val="000E6B97"/>
    <w:rsid w:val="001C37E4"/>
    <w:rsid w:val="002C5636"/>
    <w:rsid w:val="00520201"/>
    <w:rsid w:val="00571A88"/>
    <w:rsid w:val="00592EF2"/>
    <w:rsid w:val="005D0915"/>
    <w:rsid w:val="00623CB0"/>
    <w:rsid w:val="00796E32"/>
    <w:rsid w:val="00997767"/>
    <w:rsid w:val="00B346DD"/>
    <w:rsid w:val="00C44D88"/>
    <w:rsid w:val="00C60D5B"/>
    <w:rsid w:val="00CD75F3"/>
    <w:rsid w:val="00DA1043"/>
    <w:rsid w:val="00E478F5"/>
    <w:rsid w:val="00F931C8"/>
    <w:rsid w:val="00FD7982"/>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0D339"/>
  <w15:chartTrackingRefBased/>
  <w15:docId w15:val="{8A40B8B6-3B3F-4511-B89E-596423F01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lang w:val="en-US" w:eastAsia="en-US" w:bidi="hi-IN"/>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6" w:qFormat="1"/>
    <w:lsdException w:name="heading 2" w:semiHidden="1" w:uiPriority="6" w:unhideWhenUsed="1" w:qFormat="1"/>
    <w:lsdException w:name="heading 3" w:semiHidden="1" w:uiPriority="6" w:unhideWhenUsed="1" w:qFormat="1"/>
    <w:lsdException w:name="heading 4" w:semiHidden="1" w:uiPriority="6" w:unhideWhenUsed="1" w:qFormat="1"/>
    <w:lsdException w:name="heading 5" w:semiHidden="1" w:uiPriority="6" w:unhideWhenUsed="1" w:qFormat="1"/>
    <w:lsdException w:name="heading 6" w:semiHidden="1" w:uiPriority="9" w:unhideWhenUsed="1" w:qFormat="1"/>
    <w:lsdException w:name="heading 7" w:semiHidden="1" w:uiPriority="7" w:unhideWhenUsed="1" w:qFormat="1"/>
    <w:lsdException w:name="heading 8" w:semiHidden="1" w:uiPriority="7" w:unhideWhenUsed="1" w:qFormat="1"/>
    <w:lsdException w:name="heading 9" w:semiHidden="1" w:uiPriority="7"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37E4"/>
    <w:pPr>
      <w:spacing w:after="200" w:line="276" w:lineRule="auto"/>
      <w:jc w:val="both"/>
    </w:pPr>
    <w:rPr>
      <w:rFonts w:ascii="Calibri" w:eastAsia="Calibri" w:hAnsi="Calibri" w:cs="Arial"/>
      <w:szCs w:val="22"/>
      <w:lang w:bidi="ar-SA"/>
    </w:rPr>
  </w:style>
  <w:style w:type="paragraph" w:styleId="Heading1">
    <w:name w:val="heading 1"/>
    <w:basedOn w:val="Normal"/>
    <w:next w:val="Normal"/>
    <w:link w:val="Heading1Char"/>
    <w:uiPriority w:val="6"/>
    <w:qFormat/>
    <w:rsid w:val="001C37E4"/>
    <w:pPr>
      <w:outlineLvl w:val="0"/>
    </w:pPr>
    <w:rPr>
      <w:rFonts w:ascii="Arial" w:hAnsi="Arial"/>
      <w:b/>
      <w:bCs/>
      <w:caps/>
      <w:sz w:val="24"/>
      <w:szCs w:val="24"/>
    </w:rPr>
  </w:style>
  <w:style w:type="paragraph" w:styleId="Heading2">
    <w:name w:val="heading 2"/>
    <w:basedOn w:val="Normal"/>
    <w:next w:val="Normal"/>
    <w:link w:val="Heading2Char"/>
    <w:uiPriority w:val="6"/>
    <w:unhideWhenUsed/>
    <w:qFormat/>
    <w:rsid w:val="001C37E4"/>
    <w:pPr>
      <w:outlineLvl w:val="1"/>
    </w:pPr>
    <w:rPr>
      <w:rFonts w:ascii="Arial" w:hAnsi="Arial"/>
      <w:b/>
      <w:bCs/>
      <w:sz w:val="24"/>
      <w:szCs w:val="24"/>
    </w:rPr>
  </w:style>
  <w:style w:type="paragraph" w:styleId="Heading3">
    <w:name w:val="heading 3"/>
    <w:basedOn w:val="Normal"/>
    <w:next w:val="Normal"/>
    <w:link w:val="Heading3Char"/>
    <w:uiPriority w:val="6"/>
    <w:unhideWhenUsed/>
    <w:qFormat/>
    <w:rsid w:val="001C37E4"/>
    <w:pPr>
      <w:outlineLvl w:val="2"/>
    </w:pPr>
    <w:rPr>
      <w:rFonts w:ascii="Arial" w:hAnsi="Arial"/>
      <w:b/>
      <w:bCs/>
      <w:i/>
      <w:iCs/>
      <w:sz w:val="24"/>
      <w:szCs w:val="24"/>
      <w:lang w:val="en-CA"/>
    </w:rPr>
  </w:style>
  <w:style w:type="paragraph" w:styleId="Heading4">
    <w:name w:val="heading 4"/>
    <w:basedOn w:val="Normal"/>
    <w:next w:val="Normal"/>
    <w:link w:val="Heading4Char"/>
    <w:uiPriority w:val="6"/>
    <w:unhideWhenUsed/>
    <w:qFormat/>
    <w:rsid w:val="001C37E4"/>
    <w:pPr>
      <w:numPr>
        <w:ilvl w:val="3"/>
        <w:numId w:val="3"/>
      </w:numPr>
      <w:spacing w:before="240" w:after="240"/>
      <w:outlineLvl w:val="3"/>
    </w:pPr>
    <w:rPr>
      <w:rFonts w:ascii="Arial" w:hAnsi="Arial"/>
      <w:b/>
    </w:rPr>
  </w:style>
  <w:style w:type="paragraph" w:styleId="Heading5">
    <w:name w:val="heading 5"/>
    <w:basedOn w:val="Heading4"/>
    <w:next w:val="Normal"/>
    <w:link w:val="Heading5Char"/>
    <w:uiPriority w:val="6"/>
    <w:unhideWhenUsed/>
    <w:qFormat/>
    <w:rsid w:val="001C37E4"/>
    <w:pPr>
      <w:numPr>
        <w:ilvl w:val="4"/>
      </w:numPr>
      <w:outlineLvl w:val="4"/>
    </w:pPr>
    <w:rPr>
      <w:i/>
    </w:rPr>
  </w:style>
  <w:style w:type="paragraph" w:styleId="Heading6">
    <w:name w:val="heading 6"/>
    <w:basedOn w:val="Normal"/>
    <w:next w:val="Normal"/>
    <w:link w:val="Heading6Char"/>
    <w:uiPriority w:val="7"/>
    <w:semiHidden/>
    <w:unhideWhenUsed/>
    <w:qFormat/>
    <w:rsid w:val="001C37E4"/>
    <w:pPr>
      <w:keepNext/>
      <w:keepLines/>
      <w:spacing w:before="40" w:after="0"/>
      <w:outlineLvl w:val="5"/>
    </w:pPr>
    <w:rPr>
      <w:rFonts w:asciiTheme="minorHAnsi" w:eastAsia="MS Gothic" w:hAnsiTheme="minorHAnsi" w:cstheme="minorBidi"/>
      <w:b/>
      <w:bCs/>
      <w:sz w:val="28"/>
      <w:szCs w:val="28"/>
      <w:lang w:bidi="hi-IN"/>
    </w:rPr>
  </w:style>
  <w:style w:type="paragraph" w:styleId="Heading7">
    <w:name w:val="heading 7"/>
    <w:aliases w:val="Appendix 2"/>
    <w:basedOn w:val="Normal"/>
    <w:next w:val="Normal"/>
    <w:link w:val="Heading7Char"/>
    <w:uiPriority w:val="7"/>
    <w:qFormat/>
    <w:rsid w:val="001C37E4"/>
    <w:pPr>
      <w:numPr>
        <w:ilvl w:val="1"/>
        <w:numId w:val="4"/>
      </w:numPr>
      <w:spacing w:before="240" w:after="240"/>
      <w:outlineLvl w:val="6"/>
    </w:pPr>
    <w:rPr>
      <w:rFonts w:ascii="Arial" w:hAnsi="Arial"/>
      <w:b/>
      <w:sz w:val="24"/>
    </w:rPr>
  </w:style>
  <w:style w:type="paragraph" w:styleId="Heading8">
    <w:name w:val="heading 8"/>
    <w:aliases w:val="Appendix 3"/>
    <w:basedOn w:val="Normal"/>
    <w:next w:val="Normal"/>
    <w:link w:val="Heading8Char"/>
    <w:uiPriority w:val="7"/>
    <w:unhideWhenUsed/>
    <w:qFormat/>
    <w:rsid w:val="001C37E4"/>
    <w:pPr>
      <w:numPr>
        <w:ilvl w:val="2"/>
        <w:numId w:val="4"/>
      </w:numPr>
      <w:spacing w:before="240" w:after="240"/>
      <w:outlineLvl w:val="7"/>
    </w:pPr>
    <w:rPr>
      <w:rFonts w:ascii="Arial" w:hAnsi="Arial"/>
      <w:b/>
      <w:i/>
      <w:sz w:val="24"/>
    </w:rPr>
  </w:style>
  <w:style w:type="paragraph" w:styleId="Heading9">
    <w:name w:val="heading 9"/>
    <w:aliases w:val="Appendix 4"/>
    <w:basedOn w:val="Heading8"/>
    <w:next w:val="Normal"/>
    <w:link w:val="Heading9Char"/>
    <w:uiPriority w:val="7"/>
    <w:unhideWhenUsed/>
    <w:qFormat/>
    <w:rsid w:val="001C37E4"/>
    <w:pPr>
      <w:numPr>
        <w:ilvl w:val="3"/>
      </w:numPr>
      <w:outlineLvl w:val="8"/>
    </w:pPr>
    <w:rPr>
      <w:i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qFormat/>
    <w:rsid w:val="001C37E4"/>
    <w:pPr>
      <w:spacing w:after="0" w:line="240" w:lineRule="auto"/>
      <w:jc w:val="both"/>
    </w:pPr>
    <w:rPr>
      <w:rFonts w:ascii="Calibri" w:eastAsia="Calibri" w:hAnsi="Calibri" w:cs="Arial"/>
      <w:szCs w:val="22"/>
      <w:lang w:bidi="ar-SA"/>
    </w:rPr>
  </w:style>
  <w:style w:type="character" w:customStyle="1" w:styleId="13NormalChar">
    <w:name w:val="1.3 Normal Char"/>
    <w:link w:val="13Normal"/>
    <w:locked/>
    <w:rsid w:val="001C37E4"/>
    <w:rPr>
      <w:rFonts w:ascii="Arial" w:eastAsia="Times New Roman" w:hAnsi="Arial" w:cs="Times New Roman"/>
      <w:sz w:val="21"/>
      <w:szCs w:val="24"/>
    </w:rPr>
  </w:style>
  <w:style w:type="paragraph" w:customStyle="1" w:styleId="13Normal">
    <w:name w:val="1.3 Normal"/>
    <w:basedOn w:val="Normal"/>
    <w:link w:val="13NormalChar"/>
    <w:qFormat/>
    <w:rsid w:val="001C37E4"/>
    <w:pPr>
      <w:spacing w:after="240"/>
      <w:jc w:val="left"/>
    </w:pPr>
    <w:rPr>
      <w:rFonts w:ascii="Arial" w:eastAsia="Times New Roman" w:hAnsi="Arial" w:cs="Times New Roman"/>
      <w:sz w:val="21"/>
      <w:szCs w:val="24"/>
      <w:lang w:bidi="hi-IN"/>
    </w:rPr>
  </w:style>
  <w:style w:type="character" w:customStyle="1" w:styleId="Heading1Char">
    <w:name w:val="Heading 1 Char"/>
    <w:basedOn w:val="DefaultParagraphFont"/>
    <w:link w:val="Heading1"/>
    <w:uiPriority w:val="6"/>
    <w:rsid w:val="001C37E4"/>
    <w:rPr>
      <w:rFonts w:ascii="Arial" w:eastAsia="Calibri" w:hAnsi="Arial" w:cs="Arial"/>
      <w:b/>
      <w:bCs/>
      <w:caps/>
      <w:sz w:val="24"/>
      <w:szCs w:val="24"/>
      <w:lang w:bidi="ar-SA"/>
    </w:rPr>
  </w:style>
  <w:style w:type="character" w:customStyle="1" w:styleId="Heading2Char">
    <w:name w:val="Heading 2 Char"/>
    <w:basedOn w:val="DefaultParagraphFont"/>
    <w:link w:val="Heading2"/>
    <w:uiPriority w:val="6"/>
    <w:rsid w:val="001C37E4"/>
    <w:rPr>
      <w:rFonts w:ascii="Arial" w:eastAsia="Calibri" w:hAnsi="Arial" w:cs="Arial"/>
      <w:b/>
      <w:bCs/>
      <w:sz w:val="24"/>
      <w:szCs w:val="24"/>
      <w:lang w:bidi="ar-SA"/>
    </w:rPr>
  </w:style>
  <w:style w:type="character" w:customStyle="1" w:styleId="Heading3Char">
    <w:name w:val="Heading 3 Char"/>
    <w:basedOn w:val="DefaultParagraphFont"/>
    <w:link w:val="Heading3"/>
    <w:uiPriority w:val="6"/>
    <w:rsid w:val="001C37E4"/>
    <w:rPr>
      <w:rFonts w:ascii="Arial" w:eastAsia="Calibri" w:hAnsi="Arial" w:cs="Arial"/>
      <w:b/>
      <w:bCs/>
      <w:i/>
      <w:iCs/>
      <w:sz w:val="24"/>
      <w:szCs w:val="24"/>
      <w:lang w:val="en-CA" w:bidi="ar-SA"/>
    </w:rPr>
  </w:style>
  <w:style w:type="character" w:customStyle="1" w:styleId="Heading4Char">
    <w:name w:val="Heading 4 Char"/>
    <w:basedOn w:val="DefaultParagraphFont"/>
    <w:link w:val="Heading4"/>
    <w:uiPriority w:val="6"/>
    <w:rsid w:val="001C37E4"/>
    <w:rPr>
      <w:rFonts w:ascii="Arial" w:eastAsia="Calibri" w:hAnsi="Arial" w:cs="Arial"/>
      <w:b/>
      <w:szCs w:val="22"/>
      <w:lang w:bidi="ar-SA"/>
    </w:rPr>
  </w:style>
  <w:style w:type="character" w:customStyle="1" w:styleId="Heading5Char">
    <w:name w:val="Heading 5 Char"/>
    <w:basedOn w:val="DefaultParagraphFont"/>
    <w:link w:val="Heading5"/>
    <w:uiPriority w:val="6"/>
    <w:rsid w:val="001C37E4"/>
    <w:rPr>
      <w:rFonts w:ascii="Arial" w:eastAsia="Calibri" w:hAnsi="Arial" w:cs="Arial"/>
      <w:b/>
      <w:i/>
      <w:szCs w:val="22"/>
      <w:lang w:bidi="ar-SA"/>
    </w:rPr>
  </w:style>
  <w:style w:type="paragraph" w:customStyle="1" w:styleId="Appendix11">
    <w:name w:val="Appendix 11"/>
    <w:basedOn w:val="Normal"/>
    <w:next w:val="Normal"/>
    <w:uiPriority w:val="7"/>
    <w:qFormat/>
    <w:rsid w:val="001C37E4"/>
    <w:pPr>
      <w:keepNext/>
      <w:keepLines/>
      <w:numPr>
        <w:numId w:val="4"/>
      </w:numPr>
      <w:tabs>
        <w:tab w:val="num" w:pos="360"/>
      </w:tabs>
      <w:spacing w:after="240"/>
      <w:ind w:left="0" w:firstLine="0"/>
      <w:jc w:val="left"/>
      <w:outlineLvl w:val="5"/>
    </w:pPr>
    <w:rPr>
      <w:rFonts w:ascii="Arial" w:eastAsia="MS Gothic" w:hAnsi="Arial"/>
      <w:b/>
      <w:bCs/>
      <w:sz w:val="28"/>
      <w:szCs w:val="28"/>
    </w:rPr>
  </w:style>
  <w:style w:type="character" w:customStyle="1" w:styleId="Heading7Char">
    <w:name w:val="Heading 7 Char"/>
    <w:aliases w:val="Appendix 2 Char"/>
    <w:basedOn w:val="DefaultParagraphFont"/>
    <w:link w:val="Heading7"/>
    <w:uiPriority w:val="7"/>
    <w:rsid w:val="001C37E4"/>
    <w:rPr>
      <w:rFonts w:ascii="Arial" w:eastAsia="Calibri" w:hAnsi="Arial" w:cs="Arial"/>
      <w:b/>
      <w:sz w:val="24"/>
      <w:szCs w:val="22"/>
      <w:lang w:bidi="ar-SA"/>
    </w:rPr>
  </w:style>
  <w:style w:type="character" w:customStyle="1" w:styleId="Heading8Char">
    <w:name w:val="Heading 8 Char"/>
    <w:aliases w:val="Appendix 3 Char"/>
    <w:basedOn w:val="DefaultParagraphFont"/>
    <w:link w:val="Heading8"/>
    <w:uiPriority w:val="7"/>
    <w:rsid w:val="001C37E4"/>
    <w:rPr>
      <w:rFonts w:ascii="Arial" w:eastAsia="Calibri" w:hAnsi="Arial" w:cs="Arial"/>
      <w:b/>
      <w:i/>
      <w:sz w:val="24"/>
      <w:szCs w:val="22"/>
      <w:lang w:bidi="ar-SA"/>
    </w:rPr>
  </w:style>
  <w:style w:type="character" w:customStyle="1" w:styleId="Heading9Char">
    <w:name w:val="Heading 9 Char"/>
    <w:aliases w:val="Appendix 4 Char"/>
    <w:basedOn w:val="DefaultParagraphFont"/>
    <w:link w:val="Heading9"/>
    <w:uiPriority w:val="7"/>
    <w:rsid w:val="001C37E4"/>
    <w:rPr>
      <w:rFonts w:ascii="Arial" w:eastAsia="Calibri" w:hAnsi="Arial" w:cs="Arial"/>
      <w:b/>
      <w:sz w:val="24"/>
      <w:szCs w:val="22"/>
      <w:lang w:bidi="ar-SA"/>
    </w:rPr>
  </w:style>
  <w:style w:type="numbering" w:customStyle="1" w:styleId="NoList1">
    <w:name w:val="No List1"/>
    <w:next w:val="NoList"/>
    <w:uiPriority w:val="99"/>
    <w:semiHidden/>
    <w:unhideWhenUsed/>
    <w:rsid w:val="001C37E4"/>
  </w:style>
  <w:style w:type="paragraph" w:customStyle="1" w:styleId="TableofContentsTitle">
    <w:name w:val="Table of Contents Title"/>
    <w:basedOn w:val="Normal"/>
    <w:next w:val="Normal"/>
    <w:uiPriority w:val="8"/>
    <w:qFormat/>
    <w:rsid w:val="001C37E4"/>
    <w:pPr>
      <w:spacing w:after="360"/>
    </w:pPr>
    <w:rPr>
      <w:rFonts w:ascii="Arial" w:hAnsi="Arial"/>
      <w:b/>
      <w:sz w:val="28"/>
      <w:szCs w:val="28"/>
    </w:rPr>
  </w:style>
  <w:style w:type="paragraph" w:customStyle="1" w:styleId="AbbreviationTitle">
    <w:name w:val="Abbreviation Title"/>
    <w:basedOn w:val="TableofContentsTitle"/>
    <w:next w:val="Normal"/>
    <w:uiPriority w:val="8"/>
    <w:qFormat/>
    <w:rsid w:val="001C37E4"/>
    <w:pPr>
      <w:jc w:val="left"/>
    </w:pPr>
  </w:style>
  <w:style w:type="paragraph" w:styleId="Header">
    <w:name w:val="header"/>
    <w:basedOn w:val="Normal"/>
    <w:link w:val="HeaderChar"/>
    <w:uiPriority w:val="99"/>
    <w:unhideWhenUsed/>
    <w:rsid w:val="001C37E4"/>
    <w:pPr>
      <w:tabs>
        <w:tab w:val="center" w:pos="4680"/>
        <w:tab w:val="right" w:pos="9360"/>
      </w:tabs>
      <w:spacing w:after="0" w:line="240" w:lineRule="auto"/>
    </w:pPr>
    <w:rPr>
      <w:rFonts w:ascii="Arial" w:hAnsi="Arial"/>
    </w:rPr>
  </w:style>
  <w:style w:type="character" w:customStyle="1" w:styleId="HeaderChar">
    <w:name w:val="Header Char"/>
    <w:basedOn w:val="DefaultParagraphFont"/>
    <w:link w:val="Header"/>
    <w:uiPriority w:val="99"/>
    <w:rsid w:val="001C37E4"/>
    <w:rPr>
      <w:rFonts w:ascii="Arial" w:eastAsia="Calibri" w:hAnsi="Arial" w:cs="Arial"/>
      <w:szCs w:val="22"/>
      <w:lang w:bidi="ar-SA"/>
    </w:rPr>
  </w:style>
  <w:style w:type="paragraph" w:styleId="Footer">
    <w:name w:val="footer"/>
    <w:basedOn w:val="Normal"/>
    <w:link w:val="FooterChar"/>
    <w:uiPriority w:val="99"/>
    <w:unhideWhenUsed/>
    <w:rsid w:val="001C37E4"/>
    <w:pPr>
      <w:tabs>
        <w:tab w:val="center" w:pos="4680"/>
        <w:tab w:val="right" w:pos="9360"/>
      </w:tabs>
      <w:spacing w:after="0" w:line="240" w:lineRule="auto"/>
    </w:pPr>
    <w:rPr>
      <w:rFonts w:ascii="Arial" w:hAnsi="Arial"/>
    </w:rPr>
  </w:style>
  <w:style w:type="character" w:customStyle="1" w:styleId="FooterChar">
    <w:name w:val="Footer Char"/>
    <w:basedOn w:val="DefaultParagraphFont"/>
    <w:link w:val="Footer"/>
    <w:uiPriority w:val="99"/>
    <w:rsid w:val="001C37E4"/>
    <w:rPr>
      <w:rFonts w:ascii="Arial" w:eastAsia="Calibri" w:hAnsi="Arial" w:cs="Arial"/>
      <w:szCs w:val="22"/>
      <w:lang w:bidi="ar-SA"/>
    </w:rPr>
  </w:style>
  <w:style w:type="paragraph" w:styleId="BalloonText">
    <w:name w:val="Balloon Text"/>
    <w:basedOn w:val="Normal"/>
    <w:link w:val="BalloonTextChar"/>
    <w:uiPriority w:val="99"/>
    <w:semiHidden/>
    <w:unhideWhenUsed/>
    <w:rsid w:val="001C37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37E4"/>
    <w:rPr>
      <w:rFonts w:ascii="Tahoma" w:eastAsia="Calibri" w:hAnsi="Tahoma" w:cs="Tahoma"/>
      <w:sz w:val="16"/>
      <w:szCs w:val="16"/>
      <w:lang w:bidi="ar-SA"/>
    </w:rPr>
  </w:style>
  <w:style w:type="paragraph" w:styleId="Caption">
    <w:name w:val="caption"/>
    <w:basedOn w:val="Normal"/>
    <w:next w:val="Normal"/>
    <w:uiPriority w:val="35"/>
    <w:qFormat/>
    <w:rsid w:val="001C37E4"/>
    <w:pPr>
      <w:spacing w:before="240" w:after="120" w:line="240" w:lineRule="auto"/>
    </w:pPr>
    <w:rPr>
      <w:rFonts w:ascii="Arial" w:hAnsi="Arial"/>
      <w:b/>
      <w:bCs/>
      <w:szCs w:val="18"/>
    </w:rPr>
  </w:style>
  <w:style w:type="paragraph" w:customStyle="1" w:styleId="ExecutiveSummary">
    <w:name w:val="Executive Summary"/>
    <w:basedOn w:val="Normal"/>
    <w:next w:val="Normal"/>
    <w:uiPriority w:val="8"/>
    <w:qFormat/>
    <w:rsid w:val="001C37E4"/>
    <w:pPr>
      <w:spacing w:after="360"/>
    </w:pPr>
    <w:rPr>
      <w:rFonts w:ascii="Arial" w:hAnsi="Arial"/>
      <w:b/>
      <w:sz w:val="28"/>
    </w:rPr>
  </w:style>
  <w:style w:type="paragraph" w:customStyle="1" w:styleId="FigureTableLegend">
    <w:name w:val="Figure/Table Legend"/>
    <w:basedOn w:val="TableText"/>
    <w:next w:val="Normal"/>
    <w:uiPriority w:val="5"/>
    <w:qFormat/>
    <w:rsid w:val="001C37E4"/>
    <w:pPr>
      <w:spacing w:after="480"/>
    </w:pPr>
    <w:rPr>
      <w:lang w:val="en-CA"/>
    </w:rPr>
  </w:style>
  <w:style w:type="table" w:customStyle="1" w:styleId="GridTable1Light1">
    <w:name w:val="Grid Table 1 Light1"/>
    <w:basedOn w:val="TableNormal"/>
    <w:next w:val="GridTable1Light"/>
    <w:uiPriority w:val="46"/>
    <w:rsid w:val="001C37E4"/>
    <w:pPr>
      <w:spacing w:after="0" w:line="240" w:lineRule="auto"/>
    </w:pPr>
    <w:rPr>
      <w:szCs w:val="22"/>
      <w:lang w:bidi="ar-SA"/>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customStyle="1" w:styleId="TableListParagraph">
    <w:name w:val="Table List Paragraph"/>
    <w:basedOn w:val="TableText"/>
    <w:link w:val="TableListParagraphChar"/>
    <w:uiPriority w:val="3"/>
    <w:qFormat/>
    <w:rsid w:val="001C37E4"/>
    <w:pPr>
      <w:numPr>
        <w:numId w:val="7"/>
      </w:numPr>
    </w:pPr>
  </w:style>
  <w:style w:type="character" w:customStyle="1" w:styleId="Heading6Char">
    <w:name w:val="Heading 6 Char"/>
    <w:basedOn w:val="DefaultParagraphFont"/>
    <w:link w:val="Heading6"/>
    <w:uiPriority w:val="7"/>
    <w:rsid w:val="001C37E4"/>
    <w:rPr>
      <w:rFonts w:eastAsia="MS Gothic"/>
      <w:b/>
      <w:bCs/>
      <w:sz w:val="28"/>
      <w:szCs w:val="28"/>
    </w:rPr>
  </w:style>
  <w:style w:type="table" w:customStyle="1" w:styleId="LightList-Accent11">
    <w:name w:val="Light List - Accent 11"/>
    <w:basedOn w:val="TableNormal"/>
    <w:next w:val="LightList-Accent1"/>
    <w:uiPriority w:val="61"/>
    <w:rsid w:val="001C37E4"/>
    <w:pPr>
      <w:spacing w:after="0" w:line="240" w:lineRule="auto"/>
    </w:pPr>
    <w:rPr>
      <w:szCs w:val="22"/>
      <w:lang w:bidi="ar-SA"/>
    </w:rPr>
    <w:tblPr>
      <w:tblStyleRowBandSize w:val="1"/>
      <w:tblStyleColBandSize w:val="1"/>
      <w:tblBorders>
        <w:top w:val="single" w:sz="8" w:space="0" w:color="007398"/>
        <w:left w:val="single" w:sz="8" w:space="0" w:color="007398"/>
        <w:bottom w:val="single" w:sz="8" w:space="0" w:color="007398"/>
        <w:right w:val="single" w:sz="8" w:space="0" w:color="007398"/>
      </w:tblBorders>
    </w:tblPr>
    <w:tblStylePr w:type="firstRow">
      <w:pPr>
        <w:spacing w:before="0" w:after="0" w:line="240" w:lineRule="auto"/>
      </w:pPr>
      <w:rPr>
        <w:b/>
        <w:bCs/>
        <w:color w:val="FFFFFF"/>
      </w:rPr>
      <w:tblPr/>
      <w:tcPr>
        <w:shd w:val="clear" w:color="auto" w:fill="007398"/>
      </w:tcPr>
    </w:tblStylePr>
    <w:tblStylePr w:type="lastRow">
      <w:pPr>
        <w:spacing w:before="0" w:after="0" w:line="240" w:lineRule="auto"/>
      </w:pPr>
      <w:rPr>
        <w:b/>
        <w:bCs/>
      </w:rPr>
      <w:tblPr/>
      <w:tcPr>
        <w:tcBorders>
          <w:top w:val="double" w:sz="6" w:space="0" w:color="007398"/>
          <w:left w:val="single" w:sz="8" w:space="0" w:color="007398"/>
          <w:bottom w:val="single" w:sz="8" w:space="0" w:color="007398"/>
          <w:right w:val="single" w:sz="8" w:space="0" w:color="007398"/>
        </w:tcBorders>
      </w:tcPr>
    </w:tblStylePr>
    <w:tblStylePr w:type="firstCol">
      <w:rPr>
        <w:b/>
        <w:bCs/>
      </w:rPr>
    </w:tblStylePr>
    <w:tblStylePr w:type="lastCol">
      <w:rPr>
        <w:b/>
        <w:bCs/>
      </w:rPr>
    </w:tblStylePr>
    <w:tblStylePr w:type="band1Vert">
      <w:tblPr/>
      <w:tcPr>
        <w:tcBorders>
          <w:top w:val="single" w:sz="8" w:space="0" w:color="007398"/>
          <w:left w:val="single" w:sz="8" w:space="0" w:color="007398"/>
          <w:bottom w:val="single" w:sz="8" w:space="0" w:color="007398"/>
          <w:right w:val="single" w:sz="8" w:space="0" w:color="007398"/>
        </w:tcBorders>
      </w:tcPr>
    </w:tblStylePr>
    <w:tblStylePr w:type="band1Horz">
      <w:tblPr/>
      <w:tcPr>
        <w:tcBorders>
          <w:top w:val="single" w:sz="8" w:space="0" w:color="007398"/>
          <w:left w:val="single" w:sz="8" w:space="0" w:color="007398"/>
          <w:bottom w:val="single" w:sz="8" w:space="0" w:color="007398"/>
          <w:right w:val="single" w:sz="8" w:space="0" w:color="007398"/>
        </w:tcBorders>
      </w:tcPr>
    </w:tblStylePr>
  </w:style>
  <w:style w:type="paragraph" w:styleId="ListParagraph">
    <w:name w:val="List Paragraph"/>
    <w:aliases w:val="Bullet List"/>
    <w:basedOn w:val="Normal"/>
    <w:link w:val="ListParagraphChar"/>
    <w:uiPriority w:val="1"/>
    <w:qFormat/>
    <w:rsid w:val="001C37E4"/>
    <w:pPr>
      <w:numPr>
        <w:numId w:val="9"/>
      </w:numPr>
      <w:tabs>
        <w:tab w:val="num" w:pos="720"/>
      </w:tabs>
      <w:spacing w:after="360"/>
      <w:contextualSpacing/>
      <w:jc w:val="left"/>
    </w:pPr>
    <w:rPr>
      <w:rFonts w:ascii="Arial" w:hAnsi="Arial"/>
    </w:rPr>
  </w:style>
  <w:style w:type="paragraph" w:customStyle="1" w:styleId="ReferenceListTitle">
    <w:name w:val="Reference List Title"/>
    <w:basedOn w:val="Normal"/>
    <w:next w:val="Normal"/>
    <w:uiPriority w:val="8"/>
    <w:qFormat/>
    <w:rsid w:val="001C37E4"/>
    <w:pPr>
      <w:spacing w:after="360"/>
    </w:pPr>
    <w:rPr>
      <w:rFonts w:ascii="Arial" w:hAnsi="Arial"/>
      <w:b/>
      <w:sz w:val="28"/>
    </w:rPr>
  </w:style>
  <w:style w:type="numbering" w:customStyle="1" w:styleId="TableBullet">
    <w:name w:val="Table Bullet"/>
    <w:basedOn w:val="NoList"/>
    <w:uiPriority w:val="99"/>
    <w:rsid w:val="001C37E4"/>
    <w:pPr>
      <w:numPr>
        <w:numId w:val="1"/>
      </w:numPr>
    </w:pPr>
  </w:style>
  <w:style w:type="numbering" w:customStyle="1" w:styleId="TableBullets">
    <w:name w:val="Table Bullets"/>
    <w:basedOn w:val="NoList"/>
    <w:uiPriority w:val="99"/>
    <w:rsid w:val="001C37E4"/>
    <w:pPr>
      <w:numPr>
        <w:numId w:val="2"/>
      </w:numPr>
    </w:pPr>
  </w:style>
  <w:style w:type="table" w:styleId="TableGrid">
    <w:name w:val="Table Grid"/>
    <w:basedOn w:val="TableNormal"/>
    <w:uiPriority w:val="39"/>
    <w:rsid w:val="001C37E4"/>
    <w:pPr>
      <w:spacing w:after="0" w:line="240" w:lineRule="auto"/>
    </w:pPr>
    <w:rPr>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ureCaptionabove">
    <w:name w:val="Figure Caption (above)"/>
    <w:basedOn w:val="Caption"/>
    <w:next w:val="Normal"/>
    <w:link w:val="FigureCaptionaboveChar"/>
    <w:uiPriority w:val="4"/>
    <w:qFormat/>
    <w:rsid w:val="001C37E4"/>
    <w:pPr>
      <w:keepNext/>
      <w:spacing w:before="480" w:after="60" w:line="276" w:lineRule="auto"/>
      <w:jc w:val="left"/>
    </w:pPr>
    <w:rPr>
      <w:szCs w:val="20"/>
    </w:rPr>
  </w:style>
  <w:style w:type="paragraph" w:customStyle="1" w:styleId="HeaderFooterText">
    <w:name w:val="Header/Footer Text"/>
    <w:basedOn w:val="Normal"/>
    <w:uiPriority w:val="5"/>
    <w:rsid w:val="001C37E4"/>
    <w:pPr>
      <w:spacing w:after="0"/>
      <w:jc w:val="left"/>
    </w:pPr>
    <w:rPr>
      <w:rFonts w:ascii="Arial" w:hAnsi="Arial" w:cs="Times New Roman"/>
      <w:noProof/>
      <w:color w:val="7F7F7F"/>
      <w:sz w:val="20"/>
      <w:szCs w:val="20"/>
    </w:rPr>
  </w:style>
  <w:style w:type="paragraph" w:customStyle="1" w:styleId="TableCaptions">
    <w:name w:val="Table Captions"/>
    <w:basedOn w:val="FigureCaptionabove"/>
    <w:next w:val="Normal"/>
    <w:uiPriority w:val="4"/>
    <w:qFormat/>
    <w:rsid w:val="001C37E4"/>
  </w:style>
  <w:style w:type="paragraph" w:customStyle="1" w:styleId="TableText">
    <w:name w:val="Table Text"/>
    <w:basedOn w:val="Normal"/>
    <w:link w:val="TableTextChar"/>
    <w:qFormat/>
    <w:rsid w:val="001C37E4"/>
    <w:pPr>
      <w:spacing w:after="0" w:line="240" w:lineRule="auto"/>
      <w:jc w:val="left"/>
    </w:pPr>
    <w:rPr>
      <w:rFonts w:ascii="Arial" w:hAnsi="Arial"/>
      <w:sz w:val="18"/>
    </w:rPr>
  </w:style>
  <w:style w:type="paragraph" w:customStyle="1" w:styleId="CoverPageTitle">
    <w:name w:val="Cover Page Title"/>
    <w:basedOn w:val="Normal"/>
    <w:link w:val="CoverPageTitleChar"/>
    <w:uiPriority w:val="8"/>
    <w:qFormat/>
    <w:rsid w:val="001C37E4"/>
    <w:pPr>
      <w:jc w:val="center"/>
    </w:pPr>
    <w:rPr>
      <w:rFonts w:ascii="Arial" w:hAnsi="Arial"/>
      <w:b/>
      <w:color w:val="002F6C"/>
      <w:sz w:val="44"/>
      <w:szCs w:val="44"/>
    </w:rPr>
  </w:style>
  <w:style w:type="character" w:customStyle="1" w:styleId="CoverPageTitleChar">
    <w:name w:val="Cover Page Title Char"/>
    <w:basedOn w:val="DefaultParagraphFont"/>
    <w:link w:val="CoverPageTitle"/>
    <w:uiPriority w:val="8"/>
    <w:rsid w:val="001C37E4"/>
    <w:rPr>
      <w:rFonts w:ascii="Arial" w:eastAsia="Calibri" w:hAnsi="Arial" w:cs="Arial"/>
      <w:b/>
      <w:color w:val="002F6C"/>
      <w:sz w:val="44"/>
      <w:szCs w:val="44"/>
      <w:lang w:bidi="ar-SA"/>
    </w:rPr>
  </w:style>
  <w:style w:type="character" w:styleId="Strong">
    <w:name w:val="Strong"/>
    <w:uiPriority w:val="22"/>
    <w:rsid w:val="001C37E4"/>
    <w:rPr>
      <w:b/>
      <w:bCs/>
    </w:rPr>
  </w:style>
  <w:style w:type="character" w:styleId="Emphasis">
    <w:name w:val="Emphasis"/>
    <w:basedOn w:val="DefaultParagraphFont"/>
    <w:uiPriority w:val="20"/>
    <w:rsid w:val="001C37E4"/>
    <w:rPr>
      <w:i/>
      <w:iCs/>
    </w:rPr>
  </w:style>
  <w:style w:type="character" w:customStyle="1" w:styleId="ListParagraphChar">
    <w:name w:val="List Paragraph Char"/>
    <w:aliases w:val="Bullet List Char"/>
    <w:link w:val="ListParagraph"/>
    <w:uiPriority w:val="1"/>
    <w:rsid w:val="001C37E4"/>
    <w:rPr>
      <w:rFonts w:ascii="Arial" w:eastAsia="Calibri" w:hAnsi="Arial" w:cs="Arial"/>
      <w:szCs w:val="22"/>
      <w:lang w:bidi="ar-SA"/>
    </w:rPr>
  </w:style>
  <w:style w:type="paragraph" w:customStyle="1" w:styleId="-H651">
    <w:name w:val="- H651"/>
    <w:basedOn w:val="Heading1"/>
    <w:next w:val="Normal"/>
    <w:uiPriority w:val="39"/>
    <w:semiHidden/>
    <w:unhideWhenUsed/>
    <w:qFormat/>
    <w:rsid w:val="001C37E4"/>
    <w:pPr>
      <w:spacing w:before="480" w:after="0"/>
      <w:outlineLvl w:val="9"/>
    </w:pPr>
    <w:rPr>
      <w:rFonts w:ascii="Cambria" w:hAnsi="Cambria" w:cs="Times New Roman"/>
      <w:color w:val="005571"/>
    </w:rPr>
  </w:style>
  <w:style w:type="character" w:customStyle="1" w:styleId="FigureCaptionaboveChar">
    <w:name w:val="Figure Caption (above) Char"/>
    <w:link w:val="FigureCaptionabove"/>
    <w:uiPriority w:val="4"/>
    <w:rsid w:val="001C37E4"/>
    <w:rPr>
      <w:rFonts w:ascii="Arial" w:eastAsia="Calibri" w:hAnsi="Arial" w:cs="Arial"/>
      <w:b/>
      <w:bCs/>
      <w:lang w:bidi="ar-SA"/>
    </w:rPr>
  </w:style>
  <w:style w:type="character" w:customStyle="1" w:styleId="TableTextChar">
    <w:name w:val="Table Text Char"/>
    <w:basedOn w:val="DefaultParagraphFont"/>
    <w:link w:val="TableText"/>
    <w:rsid w:val="001C37E4"/>
    <w:rPr>
      <w:rFonts w:ascii="Arial" w:eastAsia="Calibri" w:hAnsi="Arial" w:cs="Arial"/>
      <w:sz w:val="18"/>
      <w:szCs w:val="22"/>
      <w:lang w:bidi="ar-SA"/>
    </w:rPr>
  </w:style>
  <w:style w:type="paragraph" w:styleId="TOC1">
    <w:name w:val="toc 1"/>
    <w:basedOn w:val="Normal"/>
    <w:next w:val="Normal"/>
    <w:autoRedefine/>
    <w:uiPriority w:val="39"/>
    <w:unhideWhenUsed/>
    <w:rsid w:val="001C37E4"/>
    <w:pPr>
      <w:spacing w:after="100"/>
    </w:pPr>
    <w:rPr>
      <w:rFonts w:ascii="Arial" w:hAnsi="Arial"/>
    </w:rPr>
  </w:style>
  <w:style w:type="character" w:customStyle="1" w:styleId="TableListParagraphChar">
    <w:name w:val="Table List Paragraph Char"/>
    <w:basedOn w:val="TableTextChar"/>
    <w:link w:val="TableListParagraph"/>
    <w:uiPriority w:val="3"/>
    <w:rsid w:val="001C37E4"/>
    <w:rPr>
      <w:rFonts w:ascii="Arial" w:eastAsia="Calibri" w:hAnsi="Arial" w:cs="Arial"/>
      <w:sz w:val="18"/>
      <w:szCs w:val="22"/>
      <w:lang w:bidi="ar-SA"/>
    </w:rPr>
  </w:style>
  <w:style w:type="paragraph" w:styleId="TOC2">
    <w:name w:val="toc 2"/>
    <w:basedOn w:val="Normal"/>
    <w:next w:val="Normal"/>
    <w:autoRedefine/>
    <w:uiPriority w:val="39"/>
    <w:unhideWhenUsed/>
    <w:rsid w:val="001C37E4"/>
    <w:pPr>
      <w:spacing w:after="100"/>
      <w:ind w:left="220"/>
    </w:pPr>
    <w:rPr>
      <w:rFonts w:ascii="Arial" w:hAnsi="Arial"/>
    </w:rPr>
  </w:style>
  <w:style w:type="paragraph" w:styleId="TOC3">
    <w:name w:val="toc 3"/>
    <w:basedOn w:val="Normal"/>
    <w:next w:val="Normal"/>
    <w:autoRedefine/>
    <w:uiPriority w:val="39"/>
    <w:unhideWhenUsed/>
    <w:rsid w:val="001C37E4"/>
    <w:pPr>
      <w:spacing w:after="100"/>
      <w:ind w:left="440"/>
    </w:pPr>
    <w:rPr>
      <w:rFonts w:ascii="Arial" w:hAnsi="Arial"/>
    </w:rPr>
  </w:style>
  <w:style w:type="paragraph" w:styleId="TOC4">
    <w:name w:val="toc 4"/>
    <w:basedOn w:val="Normal"/>
    <w:next w:val="Normal"/>
    <w:autoRedefine/>
    <w:uiPriority w:val="39"/>
    <w:unhideWhenUsed/>
    <w:rsid w:val="001C37E4"/>
    <w:pPr>
      <w:spacing w:after="100"/>
      <w:ind w:left="660"/>
    </w:pPr>
    <w:rPr>
      <w:rFonts w:ascii="Arial" w:hAnsi="Arial"/>
    </w:rPr>
  </w:style>
  <w:style w:type="paragraph" w:styleId="TOC5">
    <w:name w:val="toc 5"/>
    <w:basedOn w:val="Normal"/>
    <w:next w:val="Normal"/>
    <w:autoRedefine/>
    <w:uiPriority w:val="39"/>
    <w:unhideWhenUsed/>
    <w:rsid w:val="001C37E4"/>
    <w:pPr>
      <w:spacing w:after="100"/>
      <w:ind w:left="880"/>
    </w:pPr>
    <w:rPr>
      <w:rFonts w:ascii="Arial" w:hAnsi="Arial"/>
    </w:rPr>
  </w:style>
  <w:style w:type="character" w:customStyle="1" w:styleId="Hyperlink1">
    <w:name w:val="Hyperlink1"/>
    <w:basedOn w:val="DefaultParagraphFont"/>
    <w:uiPriority w:val="99"/>
    <w:unhideWhenUsed/>
    <w:rsid w:val="001C37E4"/>
    <w:rPr>
      <w:rFonts w:ascii="Arial" w:hAnsi="Arial"/>
      <w:color w:val="002F6C"/>
      <w:sz w:val="22"/>
      <w:u w:val="single"/>
    </w:rPr>
  </w:style>
  <w:style w:type="paragraph" w:styleId="TableofFigures">
    <w:name w:val="table of figures"/>
    <w:basedOn w:val="Normal"/>
    <w:next w:val="Normal"/>
    <w:uiPriority w:val="99"/>
    <w:unhideWhenUsed/>
    <w:rsid w:val="001C37E4"/>
    <w:pPr>
      <w:spacing w:after="120"/>
    </w:pPr>
    <w:rPr>
      <w:rFonts w:ascii="Arial" w:hAnsi="Arial"/>
    </w:rPr>
  </w:style>
  <w:style w:type="paragraph" w:customStyle="1" w:styleId="EndNoteBibliographyTitle">
    <w:name w:val="EndNote Bibliography Title"/>
    <w:basedOn w:val="Normal"/>
    <w:next w:val="EndNoteBibliography"/>
    <w:link w:val="EndNoteBibliographyTitleChar"/>
    <w:uiPriority w:val="8"/>
    <w:rsid w:val="001C37E4"/>
    <w:rPr>
      <w:rFonts w:cs="Calibri"/>
      <w:b/>
      <w:noProof/>
    </w:rPr>
  </w:style>
  <w:style w:type="character" w:customStyle="1" w:styleId="EndNoteBibliographyTitleChar">
    <w:name w:val="EndNote Bibliography Title Char"/>
    <w:basedOn w:val="DefaultParagraphFont"/>
    <w:link w:val="EndNoteBibliographyTitle"/>
    <w:uiPriority w:val="8"/>
    <w:rsid w:val="001C37E4"/>
    <w:rPr>
      <w:rFonts w:ascii="Calibri" w:eastAsia="Calibri" w:hAnsi="Calibri" w:cs="Calibri"/>
      <w:b/>
      <w:noProof/>
      <w:szCs w:val="22"/>
      <w:lang w:bidi="ar-SA"/>
    </w:rPr>
  </w:style>
  <w:style w:type="paragraph" w:customStyle="1" w:styleId="EndNoteBibliography">
    <w:name w:val="EndNote Bibliography"/>
    <w:basedOn w:val="Normal"/>
    <w:link w:val="EndNoteBibliographyChar"/>
    <w:uiPriority w:val="8"/>
    <w:rsid w:val="001C37E4"/>
    <w:pPr>
      <w:spacing w:line="240" w:lineRule="auto"/>
    </w:pPr>
    <w:rPr>
      <w:rFonts w:cs="Calibri"/>
      <w:noProof/>
    </w:rPr>
  </w:style>
  <w:style w:type="character" w:customStyle="1" w:styleId="EndNoteBibliographyChar">
    <w:name w:val="EndNote Bibliography Char"/>
    <w:basedOn w:val="DefaultParagraphFont"/>
    <w:link w:val="EndNoteBibliography"/>
    <w:uiPriority w:val="8"/>
    <w:rsid w:val="001C37E4"/>
    <w:rPr>
      <w:rFonts w:ascii="Calibri" w:eastAsia="Calibri" w:hAnsi="Calibri" w:cs="Calibri"/>
      <w:noProof/>
      <w:szCs w:val="22"/>
      <w:lang w:bidi="ar-SA"/>
    </w:rPr>
  </w:style>
  <w:style w:type="character" w:styleId="CommentReference">
    <w:name w:val="annotation reference"/>
    <w:basedOn w:val="DefaultParagraphFont"/>
    <w:uiPriority w:val="99"/>
    <w:semiHidden/>
    <w:unhideWhenUsed/>
    <w:rsid w:val="001C37E4"/>
    <w:rPr>
      <w:sz w:val="16"/>
      <w:szCs w:val="16"/>
    </w:rPr>
  </w:style>
  <w:style w:type="paragraph" w:styleId="CommentText">
    <w:name w:val="annotation text"/>
    <w:basedOn w:val="Normal"/>
    <w:link w:val="CommentTextChar"/>
    <w:uiPriority w:val="99"/>
    <w:unhideWhenUsed/>
    <w:rsid w:val="001C37E4"/>
    <w:pPr>
      <w:spacing w:line="240" w:lineRule="auto"/>
    </w:pPr>
    <w:rPr>
      <w:rFonts w:ascii="Arial" w:hAnsi="Arial"/>
      <w:sz w:val="20"/>
      <w:szCs w:val="20"/>
    </w:rPr>
  </w:style>
  <w:style w:type="character" w:customStyle="1" w:styleId="CommentTextChar">
    <w:name w:val="Comment Text Char"/>
    <w:basedOn w:val="DefaultParagraphFont"/>
    <w:link w:val="CommentText"/>
    <w:uiPriority w:val="99"/>
    <w:rsid w:val="001C37E4"/>
    <w:rPr>
      <w:rFonts w:ascii="Arial" w:eastAsia="Calibri" w:hAnsi="Arial" w:cs="Arial"/>
      <w:sz w:val="20"/>
      <w:lang w:bidi="ar-SA"/>
    </w:rPr>
  </w:style>
  <w:style w:type="paragraph" w:styleId="CommentSubject">
    <w:name w:val="annotation subject"/>
    <w:basedOn w:val="CommentText"/>
    <w:next w:val="CommentText"/>
    <w:link w:val="CommentSubjectChar"/>
    <w:uiPriority w:val="99"/>
    <w:semiHidden/>
    <w:unhideWhenUsed/>
    <w:rsid w:val="001C37E4"/>
    <w:rPr>
      <w:b/>
      <w:bCs/>
    </w:rPr>
  </w:style>
  <w:style w:type="character" w:customStyle="1" w:styleId="CommentSubjectChar">
    <w:name w:val="Comment Subject Char"/>
    <w:basedOn w:val="CommentTextChar"/>
    <w:link w:val="CommentSubject"/>
    <w:uiPriority w:val="99"/>
    <w:semiHidden/>
    <w:rsid w:val="001C37E4"/>
    <w:rPr>
      <w:rFonts w:ascii="Arial" w:eastAsia="Calibri" w:hAnsi="Arial" w:cs="Arial"/>
      <w:b/>
      <w:bCs/>
      <w:sz w:val="20"/>
      <w:lang w:bidi="ar-SA"/>
    </w:rPr>
  </w:style>
  <w:style w:type="paragraph" w:customStyle="1" w:styleId="TableCaptionabove">
    <w:name w:val="Table Caption (above)"/>
    <w:basedOn w:val="Normal"/>
    <w:next w:val="Normal"/>
    <w:link w:val="TableCaptionaboveChar"/>
    <w:rsid w:val="001C37E4"/>
    <w:pPr>
      <w:keepNext/>
      <w:spacing w:before="360" w:after="0"/>
    </w:pPr>
    <w:rPr>
      <w:rFonts w:ascii="Arial" w:hAnsi="Arial"/>
      <w:b/>
      <w:bCs/>
    </w:rPr>
  </w:style>
  <w:style w:type="character" w:customStyle="1" w:styleId="TableCaptionaboveChar">
    <w:name w:val="Table Caption (above) Char"/>
    <w:link w:val="TableCaptionabove"/>
    <w:rsid w:val="001C37E4"/>
    <w:rPr>
      <w:rFonts w:ascii="Arial" w:eastAsia="Calibri" w:hAnsi="Arial" w:cs="Arial"/>
      <w:b/>
      <w:bCs/>
      <w:szCs w:val="22"/>
      <w:lang w:bidi="ar-SA"/>
    </w:rPr>
  </w:style>
  <w:style w:type="paragraph" w:styleId="NormalWeb">
    <w:name w:val="Normal (Web)"/>
    <w:basedOn w:val="Normal"/>
    <w:uiPriority w:val="99"/>
    <w:unhideWhenUsed/>
    <w:rsid w:val="001C37E4"/>
    <w:pPr>
      <w:spacing w:before="100" w:beforeAutospacing="1" w:after="100" w:afterAutospacing="1" w:line="240" w:lineRule="auto"/>
      <w:jc w:val="left"/>
    </w:pPr>
    <w:rPr>
      <w:rFonts w:ascii="Times New Roman" w:eastAsia="Times New Roman" w:hAnsi="Times New Roman" w:cs="Times New Roman"/>
      <w:sz w:val="24"/>
      <w:szCs w:val="24"/>
    </w:rPr>
  </w:style>
  <w:style w:type="table" w:customStyle="1" w:styleId="TableGrid1">
    <w:name w:val="Table Grid1"/>
    <w:basedOn w:val="TableNormal"/>
    <w:next w:val="TableGrid"/>
    <w:uiPriority w:val="59"/>
    <w:rsid w:val="001C37E4"/>
    <w:pPr>
      <w:spacing w:after="0" w:line="240" w:lineRule="auto"/>
    </w:pPr>
    <w:rPr>
      <w:rFonts w:ascii="Times New Roman" w:hAnsi="Times New Roman"/>
      <w:szCs w:val="22"/>
      <w:lang w:bidi="ar-S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unhideWhenUsed/>
    <w:rsid w:val="001C37E4"/>
    <w:rPr>
      <w:color w:val="605E5C"/>
      <w:shd w:val="clear" w:color="auto" w:fill="E1DFDD"/>
    </w:rPr>
  </w:style>
  <w:style w:type="character" w:customStyle="1" w:styleId="FollowedHyperlink1">
    <w:name w:val="FollowedHyperlink1"/>
    <w:basedOn w:val="DefaultParagraphFont"/>
    <w:uiPriority w:val="99"/>
    <w:semiHidden/>
    <w:unhideWhenUsed/>
    <w:rsid w:val="001C37E4"/>
    <w:rPr>
      <w:color w:val="B3B3B3"/>
      <w:u w:val="single"/>
    </w:rPr>
  </w:style>
  <w:style w:type="character" w:styleId="Mention">
    <w:name w:val="Mention"/>
    <w:basedOn w:val="DefaultParagraphFont"/>
    <w:uiPriority w:val="99"/>
    <w:unhideWhenUsed/>
    <w:rsid w:val="001C37E4"/>
    <w:rPr>
      <w:color w:val="2B579A"/>
      <w:shd w:val="clear" w:color="auto" w:fill="E1DFDD"/>
    </w:rPr>
  </w:style>
  <w:style w:type="paragraph" w:styleId="Revision">
    <w:name w:val="Revision"/>
    <w:hidden/>
    <w:uiPriority w:val="99"/>
    <w:semiHidden/>
    <w:rsid w:val="001C37E4"/>
    <w:pPr>
      <w:spacing w:after="0" w:line="240" w:lineRule="auto"/>
    </w:pPr>
    <w:rPr>
      <w:rFonts w:ascii="Arial" w:hAnsi="Arial"/>
      <w:szCs w:val="22"/>
      <w:lang w:bidi="ar-SA"/>
    </w:rPr>
  </w:style>
  <w:style w:type="paragraph" w:customStyle="1" w:styleId="Default">
    <w:name w:val="Default"/>
    <w:rsid w:val="001C37E4"/>
    <w:pPr>
      <w:autoSpaceDE w:val="0"/>
      <w:autoSpaceDN w:val="0"/>
      <w:adjustRightInd w:val="0"/>
      <w:spacing w:after="0" w:line="240" w:lineRule="auto"/>
    </w:pPr>
    <w:rPr>
      <w:rFonts w:ascii="Times New Roman" w:hAnsi="Times New Roman" w:cs="Times New Roman"/>
      <w:color w:val="000000"/>
      <w:sz w:val="24"/>
      <w:szCs w:val="24"/>
      <w:lang w:bidi="ar-SA"/>
    </w:rPr>
  </w:style>
  <w:style w:type="table" w:styleId="GridTable1Light">
    <w:name w:val="Grid Table 1 Light"/>
    <w:basedOn w:val="TableNormal"/>
    <w:uiPriority w:val="46"/>
    <w:rsid w:val="001C37E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6Char1">
    <w:name w:val="Heading 6 Char1"/>
    <w:basedOn w:val="DefaultParagraphFont"/>
    <w:uiPriority w:val="9"/>
    <w:semiHidden/>
    <w:rsid w:val="001C37E4"/>
    <w:rPr>
      <w:rFonts w:asciiTheme="majorHAnsi" w:eastAsiaTheme="majorEastAsia" w:hAnsiTheme="majorHAnsi" w:cstheme="majorBidi"/>
      <w:color w:val="1F3763" w:themeColor="accent1" w:themeShade="7F"/>
      <w:szCs w:val="22"/>
      <w:lang w:bidi="ar-SA"/>
    </w:rPr>
  </w:style>
  <w:style w:type="table" w:styleId="LightList-Accent1">
    <w:name w:val="Light List Accent 1"/>
    <w:basedOn w:val="TableNormal"/>
    <w:uiPriority w:val="61"/>
    <w:semiHidden/>
    <w:unhideWhenUsed/>
    <w:rsid w:val="001C37E4"/>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character" w:styleId="Hyperlink">
    <w:name w:val="Hyperlink"/>
    <w:basedOn w:val="DefaultParagraphFont"/>
    <w:uiPriority w:val="99"/>
    <w:semiHidden/>
    <w:unhideWhenUsed/>
    <w:rsid w:val="001C37E4"/>
    <w:rPr>
      <w:color w:val="0563C1" w:themeColor="hyperlink"/>
      <w:u w:val="single"/>
    </w:rPr>
  </w:style>
  <w:style w:type="character" w:styleId="FollowedHyperlink">
    <w:name w:val="FollowedHyperlink"/>
    <w:basedOn w:val="DefaultParagraphFont"/>
    <w:uiPriority w:val="99"/>
    <w:semiHidden/>
    <w:unhideWhenUsed/>
    <w:rsid w:val="001C37E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2356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4" ma:contentTypeDescription="Create a new document." ma:contentTypeScope="" ma:versionID="204405d1fb1341d8631dd61eec1af1f4">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801ba59ea166f12a2f0316f161719c26"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CEA2F8-3645-474D-9E44-61B51C952A97}">
  <ds:schemaRefs>
    <ds:schemaRef ds:uri="http://schemas.microsoft.com/office/2006/metadata/properties"/>
    <ds:schemaRef ds:uri="http://schemas.microsoft.com/office/infopath/2007/PartnerControls"/>
    <ds:schemaRef ds:uri="34ef6fd2-5125-4c23-b935-9d16404da0a5"/>
    <ds:schemaRef ds:uri="8c3c43cf-186b-4613-84b4-a4ff23217b56"/>
  </ds:schemaRefs>
</ds:datastoreItem>
</file>

<file path=customXml/itemProps2.xml><?xml version="1.0" encoding="utf-8"?>
<ds:datastoreItem xmlns:ds="http://schemas.openxmlformats.org/officeDocument/2006/customXml" ds:itemID="{BF7E3CE6-5DE8-49EE-A582-519EFB3800D3}">
  <ds:schemaRefs>
    <ds:schemaRef ds:uri="http://schemas.microsoft.com/sharepoint/v3/contenttype/forms"/>
  </ds:schemaRefs>
</ds:datastoreItem>
</file>

<file path=customXml/itemProps3.xml><?xml version="1.0" encoding="utf-8"?>
<ds:datastoreItem xmlns:ds="http://schemas.openxmlformats.org/officeDocument/2006/customXml" ds:itemID="{65C53F47-0910-43F6-8F94-2E8B7D992A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ef6fd2-5125-4c23-b935-9d16404da0a5"/>
    <ds:schemaRef ds:uri="8c3c43cf-186b-4613-84b4-a4ff23217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14</Pages>
  <Words>3608</Words>
  <Characters>20568</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Kaitlyn Brethour</dc:creator>
  <cp:keywords/>
  <dc:description/>
  <cp:lastModifiedBy>Christian Robinson</cp:lastModifiedBy>
  <cp:revision>14</cp:revision>
  <dcterms:created xsi:type="dcterms:W3CDTF">2022-11-16T15:51:00Z</dcterms:created>
  <dcterms:modified xsi:type="dcterms:W3CDTF">2023-08-16T11:58:00Z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